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ind w:left="2694" w:firstLine="0"/>
        <w:jc w:val="center"/>
        <w:rPr>
          <w:rFonts w:ascii="Century Gothic" w:cs="Century Gothic" w:eastAsia="Century Gothic" w:hAnsi="Century Gothic"/>
          <w:b w:val="1"/>
          <w:bCs w:val="1"/>
          <w:color w:val="336600"/>
          <w:sz w:val="40"/>
          <w:szCs w:val="40"/>
        </w:rPr>
      </w:pPr>
      <w:r w:rsidDel="00000000" w:rsidR="00000000" w:rsidRPr="00000000">
        <w:rPr>
          <w:rFonts w:ascii="Century Gothic" w:cs="Century Gothic" w:eastAsia="Century Gothic" w:hAnsi="Century Gothic"/>
          <w:b w:val="1"/>
          <w:bCs w:val="1"/>
          <w:color w:val="ed7d31"/>
          <w:sz w:val="36"/>
          <w:szCs w:val="36"/>
          <w:rtl w:val="0"/>
        </w:rPr>
        <w:t xml:space="preserve">PATHFINDER – Paving the way for Digital Learning in Higher Education with Enterprise Community Development</w:t>
      </w:r>
      <w:r w:rsidDel="00000000" w:rsidR="00000000" w:rsidRPr="00000000">
        <w:rPr>
          <w:rFonts w:ascii="Century Gothic" w:cs="Century Gothic" w:eastAsia="Century Gothic" w:hAnsi="Century Gothic"/>
          <w:b w:val="1"/>
          <w:bCs w:val="1"/>
          <w:color w:val="336600"/>
          <w:sz w:val="36"/>
          <w:szCs w:val="36"/>
          <w:rtl w:val="0"/>
        </w:rPr>
        <w:t xml:space="preserve"> </w:t>
      </w:r>
      <w:r w:rsidDel="00000000" w:rsidR="00000000" w:rsidRPr="00000000">
        <w:rPr>
          <w:rtl w:val="0"/>
        </w:rPr>
      </w:r>
      <w:r w:rsidDel="00000000" w:rsidR="00000000" w:rsidRPr="00000000">
        <mc:AlternateContent>
          <mc:Choice Requires="wps">
            <w:drawing>
              <wp:anchor allowOverlap="1" behindDoc="0" distB="45720" distT="45720" distL="114300" distR="114300" hidden="0" layoutInCell="1" locked="0" relativeHeight="0" simplePos="0">
                <wp:simplePos x="0" y="0"/>
                <wp:positionH relativeFrom="column">
                  <wp:posOffset>5</wp:posOffset>
                </wp:positionH>
                <wp:positionV relativeFrom="paragraph">
                  <wp:posOffset>8895</wp:posOffset>
                </wp:positionV>
                <wp:extent cx="1550035" cy="1208405"/>
                <wp:wrapSquare wrapText="bothSides" distB="45720" distT="45720" distL="114300" distR="114300"/>
                <wp:docPr id="2125782373" name=""/>
                <a:graphic>
                  <a:graphicData uri="http://schemas.microsoft.com/office/word/2010/wordprocessingShape">
                    <wps:wsp>
                      <wps:cNvSpPr txBox="1">
                        <a:spLocks noChangeArrowheads="1"/>
                      </wps:cNvSpPr>
                      <wps:spPr bwMode="auto">
                        <a:xfrm>
                          <a:off x="0" y="0"/>
                          <a:ext cx="1550035" cy="1208405"/>
                        </a:xfrm>
                        <a:prstGeom prst="rect">
                          <a:avLst/>
                        </a:prstGeom>
                        <a:solidFill>
                          <a:srgbClr val="FFFFFF"/>
                        </a:solidFill>
                        <a:ln w="9525">
                          <a:solidFill>
                            <a:schemeClr val="bg1"/>
                          </a:solidFill>
                          <a:miter lim="800000"/>
                          <a:headEnd/>
                          <a:tailEnd/>
                        </a:ln>
                      </wps:spPr>
                      <wps:txbx>
                        <w:txbxContent>
                          <w:p w:rsidR="00E60F13" w:rsidDel="00000000" w:rsidP="00000000" w:rsidRDefault="00560D2E" w:rsidRPr="000637BA" w14:paraId="00F3DC8A" w14:textId="77777777">
                            <w:pPr>
                              <w:rPr>
                                <w:lang w:val="es-ES"/>
                              </w:rPr>
                            </w:pPr>
                            <w:r w:rsidDel="00000000" w:rsidR="00000000" w:rsidRPr="00C66C51">
                              <w:rPr>
                                <w:noProof w:val="1"/>
                                <w:lang w:val="es-ES"/>
                              </w:rPr>
                              <w:drawing>
                                <wp:inline distB="0" distT="0" distL="0" distR="0">
                                  <wp:extent cx="1454253" cy="1053389"/>
                                  <wp:effectExtent b="0" l="0" r="0" t="0"/>
                                  <wp:docPr id="12235073" name="Imagen 1"/>
                                  <wp:cNvGraphicFramePr>
                                    <a:graphicFrameLocks noChangeAspect="1"/>
                                  </wp:cNvGraphicFramePr>
                                  <a:graphic>
                                    <a:graphicData uri="http://schemas.openxmlformats.org/drawingml/2006/picture">
                                      <pic:pic>
                                        <pic:nvPicPr>
                                          <pic:cNvPr id="12235073" name="Imagen 1"/>
                                          <pic:cNvPicPr>
                                            <a:picLocks noChangeAspect="1" noChangeArrowheads="1"/>
                                          </pic:cNvPicPr>
                                        </pic:nvPicPr>
                                        <pic:blipFill>
                                          <a:blip r:embed="rId1"/>
                                          <a:stretch>
                                            <a:fillRect/>
                                          </a:stretch>
                                        </pic:blipFill>
                                        <pic:spPr bwMode="auto">
                                          <a:xfrm>
                                            <a:off x="0" y="0"/>
                                            <a:ext cx="1459766" cy="1057382"/>
                                          </a:xfrm>
                                          <a:prstGeom prst="rect">
                                            <a:avLst/>
                                          </a:prstGeom>
                                          <a:noFill/>
                                          <a:ln>
                                            <a:noFill/>
                                          </a:ln>
                                        </pic:spPr>
                                      </pic:pic>
                                    </a:graphicData>
                                  </a:graphic>
                                </wp:inline>
                              </w:drawing>
                            </w:r>
                          </w:p>
                        </w:txbxContent>
                      </wps:txbx>
                      <wps:bodyPr anchorCtr="0" anchor="t" bIns="45720" lIns="91440" rIns="91440" rot="0" vert="horz" wrap="square" tIns="4572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5</wp:posOffset>
                </wp:positionH>
                <wp:positionV relativeFrom="paragraph">
                  <wp:posOffset>8895</wp:posOffset>
                </wp:positionV>
                <wp:extent cx="1550035" cy="1208405"/>
                <wp:effectExtent b="0" l="0" r="0" t="0"/>
                <wp:wrapSquare wrapText="bothSides" distB="45720" distT="45720" distL="114300" distR="114300"/>
                <wp:docPr id="2125782373"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1550035" cy="1208405"/>
                        </a:xfrm>
                        <a:prstGeom prst="rect"/>
                        <a:ln/>
                      </pic:spPr>
                    </pic:pic>
                  </a:graphicData>
                </a:graphic>
              </wp:anchor>
            </w:drawing>
          </mc:Fallback>
        </mc:AlternateContent>
      </w:r>
    </w:p>
    <w:p w:rsidR="00000000" w:rsidDel="00000000" w:rsidP="00000000" w:rsidRDefault="00000000" w:rsidRPr="00000000" w14:paraId="00000002">
      <w:pPr>
        <w:spacing w:after="0" w:before="240" w:line="360" w:lineRule="auto"/>
        <w:ind w:left="2694" w:firstLine="0"/>
        <w:jc w:val="center"/>
        <w:rPr>
          <w:rFonts w:ascii="Century Gothic" w:cs="Century Gothic" w:eastAsia="Century Gothic" w:hAnsi="Century Gothic"/>
          <w:color w:val="3b3838"/>
          <w:sz w:val="24"/>
          <w:szCs w:val="24"/>
        </w:rPr>
      </w:pPr>
      <w:r w:rsidDel="00000000" w:rsidR="00000000" w:rsidRPr="00000000">
        <w:rPr>
          <w:rFonts w:ascii="Century Gothic" w:cs="Century Gothic" w:eastAsia="Century Gothic" w:hAnsi="Century Gothic"/>
          <w:color w:val="3b3838"/>
          <w:sz w:val="24"/>
          <w:szCs w:val="24"/>
          <w:rtl w:val="0"/>
        </w:rPr>
        <w:t xml:space="preserve">Project ID 2023-1-ES01-KA220-HED-000161343</w:t>
      </w:r>
    </w:p>
    <w:p w:rsidR="00000000" w:rsidDel="00000000" w:rsidP="00000000" w:rsidRDefault="00000000" w:rsidRPr="00000000" w14:paraId="00000003">
      <w:pPr>
        <w:spacing w:after="0" w:line="360" w:lineRule="auto"/>
        <w:jc w:val="center"/>
        <w:rPr>
          <w:rFonts w:ascii="Century Gothic" w:cs="Century Gothic" w:eastAsia="Century Gothic" w:hAnsi="Century Gothic"/>
          <w:b w:val="1"/>
          <w:bCs w:val="1"/>
          <w:sz w:val="20"/>
          <w:szCs w:val="20"/>
        </w:rPr>
      </w:pPr>
      <w:r w:rsidDel="00000000" w:rsidR="00000000" w:rsidRPr="00000000">
        <w:rPr>
          <w:rtl w:val="0"/>
        </w:rPr>
      </w:r>
    </w:p>
    <w:p w:rsidR="00000000" w:rsidDel="00000000" w:rsidP="00000000" w:rsidRDefault="00000000" w:rsidRPr="00000000" w14:paraId="00000004">
      <w:pPr>
        <w:spacing w:after="0" w:line="240" w:lineRule="auto"/>
        <w:rPr>
          <w:rFonts w:ascii="Century Gothic" w:cs="Century Gothic" w:eastAsia="Century Gothic" w:hAnsi="Century Gothic"/>
          <w:b w:val="1"/>
          <w:bCs w:val="1"/>
          <w:color w:val="3b3838"/>
          <w:sz w:val="36"/>
          <w:szCs w:val="36"/>
        </w:rPr>
      </w:pPr>
      <w:r w:rsidDel="00000000" w:rsidR="00000000" w:rsidRPr="00000000">
        <w:rPr>
          <w:rFonts w:ascii="Century Gothic" w:cs="Century Gothic" w:eastAsia="Century Gothic" w:hAnsi="Century Gothic"/>
          <w:b w:val="1"/>
          <w:bCs w:val="1"/>
          <w:color w:val="3b3838"/>
          <w:sz w:val="36"/>
          <w:szCs w:val="36"/>
          <w:rtl w:val="0"/>
        </w:rPr>
        <w:t xml:space="preserve">Educational Book: </w:t>
      </w:r>
    </w:p>
    <w:p w:rsidR="00000000" w:rsidDel="00000000" w:rsidP="00000000" w:rsidRDefault="00000000" w:rsidRPr="00000000" w14:paraId="00000005">
      <w:pPr>
        <w:spacing w:after="0" w:line="240" w:lineRule="auto"/>
        <w:rPr>
          <w:rFonts w:ascii="Century Gothic" w:cs="Century Gothic" w:eastAsia="Century Gothic" w:hAnsi="Century Gothic"/>
          <w:b w:val="1"/>
          <w:bCs w:val="1"/>
          <w:color w:val="3b3838"/>
          <w:sz w:val="36"/>
          <w:szCs w:val="36"/>
        </w:rPr>
      </w:pPr>
      <w:r w:rsidDel="00000000" w:rsidR="00000000" w:rsidRPr="00000000">
        <w:rPr>
          <w:rFonts w:ascii="Century Gothic" w:cs="Century Gothic" w:eastAsia="Century Gothic" w:hAnsi="Century Gothic"/>
          <w:b w:val="1"/>
          <w:bCs w:val="1"/>
          <w:color w:val="3b3838"/>
          <w:sz w:val="36"/>
          <w:szCs w:val="36"/>
          <w:rtl w:val="0"/>
        </w:rPr>
        <w:t xml:space="preserve">The community economy: Introduction and context </w:t>
      </w:r>
    </w:p>
    <w:p w:rsidR="00000000" w:rsidDel="00000000" w:rsidP="00000000" w:rsidRDefault="00000000" w:rsidRPr="00000000" w14:paraId="00000006">
      <w:pPr>
        <w:spacing w:after="0" w:line="240" w:lineRule="auto"/>
        <w:rPr>
          <w:rFonts w:ascii="Century Gothic" w:cs="Century Gothic" w:eastAsia="Century Gothic" w:hAnsi="Century Gothic"/>
          <w:b w:val="1"/>
          <w:bCs w:val="1"/>
          <w:color w:val="3b3838"/>
          <w:sz w:val="36"/>
          <w:szCs w:val="36"/>
        </w:rPr>
      </w:pPr>
      <w:r w:rsidDel="00000000" w:rsidR="00000000" w:rsidRPr="00000000">
        <w:rPr>
          <w:rtl w:val="0"/>
        </w:rPr>
      </w:r>
    </w:p>
    <w:p w:rsidR="00000000" w:rsidDel="00000000" w:rsidP="00000000" w:rsidRDefault="00000000" w:rsidRPr="00000000" w14:paraId="00000007">
      <w:pPr>
        <w:spacing w:after="0" w:line="240" w:lineRule="auto"/>
        <w:rPr>
          <w:rFonts w:ascii="Century Gothic" w:cs="Century Gothic" w:eastAsia="Century Gothic" w:hAnsi="Century Gothic"/>
          <w:color w:val="3b3838"/>
          <w:sz w:val="24"/>
          <w:szCs w:val="24"/>
        </w:rPr>
      </w:pPr>
      <w:r w:rsidDel="00000000" w:rsidR="00000000" w:rsidRPr="00000000">
        <w:rPr>
          <w:rFonts w:ascii="Century Gothic" w:cs="Century Gothic" w:eastAsia="Century Gothic" w:hAnsi="Century Gothic"/>
          <w:color w:val="3b3838"/>
          <w:sz w:val="24"/>
          <w:szCs w:val="24"/>
          <w:rtl w:val="0"/>
        </w:rPr>
        <w:t xml:space="preserve">Prepared by UCLL, KTU, FUNDEUN &amp; WKO</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-6347</wp:posOffset>
                </wp:positionH>
                <wp:positionV relativeFrom="paragraph">
                  <wp:posOffset>101600</wp:posOffset>
                </wp:positionV>
                <wp:extent cx="0" cy="19050"/>
                <wp:effectExtent b="0" l="0" r="0" t="0"/>
                <wp:wrapNone/>
                <wp:docPr id="2125782375" name=""/>
                <a:graphic>
                  <a:graphicData uri="http://schemas.microsoft.com/office/word/2010/wordprocessingShape">
                    <wps:wsp>
                      <wps:cNvCnPr/>
                      <wps:spPr>
                        <a:xfrm>
                          <a:off x="3561091" y="3780000"/>
                          <a:ext cx="3569818" cy="0"/>
                        </a:xfrm>
                        <a:prstGeom prst="straightConnector1">
                          <a:avLst/>
                        </a:prstGeom>
                        <a:noFill/>
                        <a:ln cap="flat" cmpd="sng" w="19050">
                          <a:solidFill>
                            <a:srgbClr val="3A3838"/>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-6347</wp:posOffset>
                </wp:positionH>
                <wp:positionV relativeFrom="paragraph">
                  <wp:posOffset>101600</wp:posOffset>
                </wp:positionV>
                <wp:extent cx="0" cy="19050"/>
                <wp:effectExtent b="0" l="0" r="0" t="0"/>
                <wp:wrapNone/>
                <wp:docPr id="2125782375" name="image14.png"/>
                <a:graphic>
                  <a:graphicData uri="http://schemas.openxmlformats.org/drawingml/2006/picture">
                    <pic:pic>
                      <pic:nvPicPr>
                        <pic:cNvPr id="0" name="image14.png"/>
                        <pic:cNvPicPr preferRelativeResize="0"/>
                      </pic:nvPicPr>
                      <pic:blipFill>
                        <a:blip r:embed="rId9"/>
                        <a:srcRect/>
                        <a:stretch>
                          <a:fillRect/>
                        </a:stretch>
                      </pic:blipFill>
                      <pic:spPr>
                        <a:xfrm>
                          <a:off x="0" y="0"/>
                          <a:ext cx="0" cy="19050"/>
                        </a:xfrm>
                        <a:prstGeom prst="rect"/>
                        <a:ln/>
                      </pic:spPr>
                    </pic:pic>
                  </a:graphicData>
                </a:graphic>
              </wp:anchor>
            </w:drawing>
          </mc:Fallback>
        </mc:AlternateContent>
      </w:r>
    </w:p>
    <w:p w:rsidR="00000000" w:rsidDel="00000000" w:rsidP="00000000" w:rsidRDefault="00000000" w:rsidRPr="00000000" w14:paraId="00000008">
      <w:pPr>
        <w:spacing w:after="0" w:line="240" w:lineRule="auto"/>
        <w:rPr>
          <w:rFonts w:ascii="Century Gothic" w:cs="Century Gothic" w:eastAsia="Century Gothic" w:hAnsi="Century Gothic"/>
          <w:color w:val="3b3838"/>
          <w:sz w:val="24"/>
          <w:szCs w:val="24"/>
        </w:rPr>
      </w:pPr>
      <w:r w:rsidDel="00000000" w:rsidR="00000000" w:rsidRPr="00000000">
        <w:rPr>
          <w:rtl w:val="0"/>
        </w:rPr>
      </w:r>
    </w:p>
    <w:p w:rsidR="00000000" w:rsidDel="00000000" w:rsidP="00000000" w:rsidRDefault="00000000" w:rsidRPr="00000000" w14:paraId="00000009">
      <w:pPr>
        <w:spacing w:after="0" w:line="240" w:lineRule="auto"/>
        <w:rPr>
          <w:rFonts w:ascii="Century Gothic" w:cs="Century Gothic" w:eastAsia="Century Gothic" w:hAnsi="Century Gothic"/>
          <w:color w:val="3b3838"/>
          <w:sz w:val="24"/>
          <w:szCs w:val="24"/>
        </w:rPr>
      </w:pPr>
      <w:r w:rsidDel="00000000" w:rsidR="00000000" w:rsidRPr="00000000">
        <w:rPr>
          <w:rFonts w:ascii="Century Gothic" w:cs="Century Gothic" w:eastAsia="Century Gothic" w:hAnsi="Century Gothic"/>
          <w:color w:val="3b3838"/>
          <w:sz w:val="24"/>
          <w:szCs w:val="24"/>
          <w:rtl w:val="0"/>
        </w:rPr>
        <w:t xml:space="preserve">Authors: </w:t>
      </w:r>
    </w:p>
    <w:p w:rsidR="00000000" w:rsidDel="00000000" w:rsidP="00000000" w:rsidRDefault="00000000" w:rsidRPr="00000000" w14:paraId="0000000A">
      <w:pPr>
        <w:spacing w:after="0" w:line="240" w:lineRule="auto"/>
        <w:rPr>
          <w:rFonts w:ascii="Century Gothic" w:cs="Century Gothic" w:eastAsia="Century Gothic" w:hAnsi="Century Gothic"/>
          <w:color w:val="3b3838"/>
          <w:sz w:val="24"/>
          <w:szCs w:val="24"/>
        </w:rPr>
      </w:pPr>
      <w:r w:rsidDel="00000000" w:rsidR="00000000" w:rsidRPr="00000000">
        <w:rPr>
          <w:rFonts w:ascii="Century Gothic" w:cs="Century Gothic" w:eastAsia="Century Gothic" w:hAnsi="Century Gothic"/>
          <w:color w:val="3b3838"/>
          <w:sz w:val="24"/>
          <w:szCs w:val="24"/>
          <w:rtl w:val="0"/>
        </w:rPr>
        <w:t xml:space="preserve">Eglė Staniškienė and Živilė Stankevičiūtė from Kaunas University of Technology</w:t>
      </w:r>
    </w:p>
    <w:p w:rsidR="00000000" w:rsidDel="00000000" w:rsidP="00000000" w:rsidRDefault="00000000" w:rsidRPr="00000000" w14:paraId="0000000B">
      <w:pPr>
        <w:spacing w:after="0" w:line="240" w:lineRule="auto"/>
        <w:rPr>
          <w:rFonts w:ascii="Century Gothic" w:cs="Century Gothic" w:eastAsia="Century Gothic" w:hAnsi="Century Gothic"/>
          <w:color w:val="3b3838"/>
          <w:sz w:val="24"/>
          <w:szCs w:val="24"/>
        </w:rPr>
      </w:pPr>
      <w:r w:rsidDel="00000000" w:rsidR="00000000" w:rsidRPr="00000000">
        <w:rPr>
          <w:rtl w:val="0"/>
        </w:rPr>
      </w:r>
    </w:p>
    <w:p w:rsidR="00000000" w:rsidDel="00000000" w:rsidP="00000000" w:rsidRDefault="00000000" w:rsidRPr="00000000" w14:paraId="0000000C">
      <w:pPr>
        <w:spacing w:after="0" w:line="240" w:lineRule="auto"/>
        <w:rPr>
          <w:rFonts w:ascii="Century Gothic" w:cs="Century Gothic" w:eastAsia="Century Gothic" w:hAnsi="Century Gothic"/>
          <w:color w:val="3b3838"/>
          <w:sz w:val="24"/>
          <w:szCs w:val="24"/>
        </w:rPr>
      </w:pPr>
      <w:r w:rsidDel="00000000" w:rsidR="00000000" w:rsidRPr="00000000">
        <w:rPr>
          <w:rFonts w:ascii="Century Gothic" w:cs="Century Gothic" w:eastAsia="Century Gothic" w:hAnsi="Century Gothic"/>
          <w:color w:val="3b3838"/>
          <w:sz w:val="24"/>
          <w:szCs w:val="24"/>
          <w:rtl w:val="0"/>
        </w:rPr>
        <w:t xml:space="preserve">Clara Ishlaine Ibold, Rainer Schabereiter from WKO Room466</w:t>
      </w:r>
    </w:p>
    <w:p w:rsidR="00000000" w:rsidDel="00000000" w:rsidP="00000000" w:rsidRDefault="00000000" w:rsidRPr="00000000" w14:paraId="0000000D">
      <w:pPr>
        <w:spacing w:after="0" w:line="240" w:lineRule="auto"/>
        <w:rPr>
          <w:rFonts w:ascii="Century Gothic" w:cs="Century Gothic" w:eastAsia="Century Gothic" w:hAnsi="Century Gothic"/>
          <w:color w:val="3b3838"/>
          <w:sz w:val="24"/>
          <w:szCs w:val="24"/>
        </w:rPr>
      </w:pPr>
      <w:r w:rsidDel="00000000" w:rsidR="00000000" w:rsidRPr="00000000">
        <w:rPr>
          <w:rtl w:val="0"/>
        </w:rPr>
      </w:r>
    </w:p>
    <w:p w:rsidR="00000000" w:rsidDel="00000000" w:rsidP="00000000" w:rsidRDefault="00000000" w:rsidRPr="00000000" w14:paraId="0000000E">
      <w:pPr>
        <w:spacing w:after="0" w:line="240" w:lineRule="auto"/>
        <w:rPr>
          <w:rFonts w:ascii="Century Gothic" w:cs="Century Gothic" w:eastAsia="Century Gothic" w:hAnsi="Century Gothic"/>
          <w:color w:val="3b3838"/>
          <w:sz w:val="24"/>
          <w:szCs w:val="24"/>
        </w:rPr>
      </w:pPr>
      <w:r w:rsidDel="00000000" w:rsidR="00000000" w:rsidRPr="00000000">
        <w:rPr>
          <w:rFonts w:ascii="Century Gothic" w:cs="Century Gothic" w:eastAsia="Century Gothic" w:hAnsi="Century Gothic"/>
          <w:color w:val="3b3838"/>
          <w:sz w:val="24"/>
          <w:szCs w:val="24"/>
          <w:rtl w:val="0"/>
        </w:rPr>
        <w:t xml:space="preserve">Ellen Muller from UC Limburg</w:t>
      </w:r>
    </w:p>
    <w:p w:rsidR="00000000" w:rsidDel="00000000" w:rsidP="00000000" w:rsidRDefault="00000000" w:rsidRPr="00000000" w14:paraId="0000000F">
      <w:pPr>
        <w:spacing w:after="0" w:line="240" w:lineRule="auto"/>
        <w:rPr>
          <w:rFonts w:ascii="Century Gothic" w:cs="Century Gothic" w:eastAsia="Century Gothic" w:hAnsi="Century Gothic"/>
          <w:color w:val="3b3838"/>
          <w:sz w:val="24"/>
          <w:szCs w:val="24"/>
        </w:rPr>
      </w:pPr>
      <w:r w:rsidDel="00000000" w:rsidR="00000000" w:rsidRPr="00000000">
        <w:rPr>
          <w:rtl w:val="0"/>
        </w:rPr>
      </w:r>
    </w:p>
    <w:p w:rsidR="00000000" w:rsidDel="00000000" w:rsidP="00000000" w:rsidRDefault="00000000" w:rsidRPr="00000000" w14:paraId="00000010">
      <w:pPr>
        <w:spacing w:after="0" w:line="240" w:lineRule="auto"/>
        <w:rPr>
          <w:rFonts w:ascii="Century Gothic" w:cs="Century Gothic" w:eastAsia="Century Gothic" w:hAnsi="Century Gothic"/>
          <w:color w:val="3b3838"/>
          <w:sz w:val="24"/>
          <w:szCs w:val="24"/>
        </w:rPr>
      </w:pPr>
      <w:r w:rsidDel="00000000" w:rsidR="00000000" w:rsidRPr="00000000">
        <w:rPr>
          <w:rFonts w:ascii="Century Gothic" w:cs="Century Gothic" w:eastAsia="Century Gothic" w:hAnsi="Century Gothic"/>
          <w:color w:val="3b3838"/>
          <w:sz w:val="24"/>
          <w:szCs w:val="24"/>
          <w:rtl w:val="0"/>
        </w:rPr>
        <w:t xml:space="preserve">Virginia Payá Pérez from FUNDEUN</w:t>
      </w:r>
    </w:p>
    <w:p w:rsidR="00000000" w:rsidDel="00000000" w:rsidP="00000000" w:rsidRDefault="00000000" w:rsidRPr="00000000" w14:paraId="00000011">
      <w:pPr>
        <w:spacing w:after="0" w:line="240" w:lineRule="auto"/>
        <w:rPr>
          <w:rFonts w:ascii="Century Gothic" w:cs="Century Gothic" w:eastAsia="Century Gothic" w:hAnsi="Century Gothic"/>
          <w:color w:val="3b3838"/>
          <w:sz w:val="24"/>
          <w:szCs w:val="24"/>
        </w:rPr>
      </w:pPr>
      <w:r w:rsidDel="00000000" w:rsidR="00000000" w:rsidRPr="00000000">
        <w:rPr>
          <w:rtl w:val="0"/>
        </w:rPr>
      </w:r>
    </w:p>
    <w:p w:rsidR="00000000" w:rsidDel="00000000" w:rsidP="00000000" w:rsidRDefault="00000000" w:rsidRPr="00000000" w14:paraId="00000012">
      <w:pPr>
        <w:spacing w:after="0" w:line="240" w:lineRule="auto"/>
        <w:rPr>
          <w:rFonts w:ascii="Century Gothic" w:cs="Century Gothic" w:eastAsia="Century Gothic" w:hAnsi="Century Gothic"/>
          <w:color w:val="3b3838"/>
          <w:sz w:val="24"/>
          <w:szCs w:val="24"/>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drawing>
          <wp:inline distB="0" distT="0" distL="0" distR="0">
            <wp:extent cx="1557022" cy="546396"/>
            <wp:effectExtent b="0" l="0" r="0" t="0"/>
            <wp:docPr descr="Un dibujo de una cara feliz&#10;&#10;El contenido generado por IA puede ser incorrecto." id="2125782378" name="image8.png"/>
            <a:graphic>
              <a:graphicData uri="http://schemas.openxmlformats.org/drawingml/2006/picture">
                <pic:pic>
                  <pic:nvPicPr>
                    <pic:cNvPr descr="Un dibujo de una cara feliz&#10;&#10;El contenido generado por IA puede ser incorrecto." id="0" name="image8.png"/>
                    <pic:cNvPicPr preferRelativeResize="0"/>
                  </pic:nvPicPr>
                  <pic:blipFill>
                    <a:blip r:embed="rId10"/>
                    <a:srcRect b="0" l="0" r="0" t="0"/>
                    <a:stretch>
                      <a:fillRect/>
                    </a:stretch>
                  </pic:blipFill>
                  <pic:spPr>
                    <a:xfrm>
                      <a:off x="0" y="0"/>
                      <a:ext cx="1557022" cy="546396"/>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rPr>
          <w:rFonts w:ascii="Century Gothic" w:cs="Century Gothic" w:eastAsia="Century Gothic" w:hAnsi="Century Gothic"/>
          <w:b w:val="1"/>
          <w:bCs w:val="1"/>
          <w:color w:val="2e75b5"/>
        </w:rPr>
        <w:sectPr>
          <w:headerReference r:id="rId11" w:type="default"/>
          <w:footerReference r:id="rId12" w:type="default"/>
          <w:pgSz w:h="15840" w:w="12240" w:orient="portrait"/>
          <w:pgMar w:bottom="1440" w:top="1440" w:left="1440" w:right="1440" w:header="720" w:footer="720"/>
          <w:pgNumType w:start="1"/>
        </w:sect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1409701</wp:posOffset>
                </wp:positionH>
                <wp:positionV relativeFrom="paragraph">
                  <wp:posOffset>898526</wp:posOffset>
                </wp:positionV>
                <wp:extent cx="5014595" cy="695942"/>
                <wp:effectExtent b="0" l="0" r="0" t="0"/>
                <wp:wrapNone/>
                <wp:docPr id="2125782374" name=""/>
                <a:graphic>
                  <a:graphicData uri="http://schemas.microsoft.com/office/word/2010/wordprocessingShape">
                    <wps:wsp>
                      <wps:cNvSpPr/>
                      <wps:cNvPr id="2" name="Shape 2"/>
                      <wps:spPr>
                        <a:xfrm>
                          <a:off x="2848228" y="3465675"/>
                          <a:ext cx="4995545" cy="628650"/>
                        </a:xfrm>
                        <a:prstGeom prst="rect">
                          <a:avLst/>
                        </a:prstGeom>
                        <a:solidFill>
                          <a:srgbClr val="FFFFFF"/>
                        </a:solidFill>
                        <a:ln>
                          <a:noFill/>
                        </a:ln>
                      </wps:spPr>
                      <wps:txbx>
                        <w:txbxContent>
                          <w:p w:rsidR="00000000" w:rsidDel="00000000" w:rsidP="00000000" w:rsidRDefault="00000000" w:rsidRPr="00000000">
                            <w:pPr>
                              <w:spacing w:after="160" w:before="0" w:line="258.0000114440918"/>
                              <w:ind w:left="0" w:right="0" w:firstLine="0"/>
                              <w:jc w:val="both"/>
                              <w:textDirection w:val="btLr"/>
                            </w:pPr>
                            <w:r w:rsidDel="00000000" w:rsidR="00000000" w:rsidRPr="00000000">
                              <w:rPr>
                                <w:rFonts w:ascii="Calibri" w:cs="Calibri" w:eastAsia="Calibri" w:hAnsi="Calibri"/>
                                <w:b w:val="0"/>
                                <w:i w:val="0"/>
                                <w:smallCaps w:val="0"/>
                                <w:strike w:val="0"/>
                                <w:color w:val="2e4c59"/>
                                <w:sz w:val="16"/>
                                <w:vertAlign w:val="baseline"/>
                              </w:rPr>
                              <w:t xml:space="preserve">Co-funded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 2023-1-ES01-KA220-HED-000161343</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1409701</wp:posOffset>
                </wp:positionH>
                <wp:positionV relativeFrom="paragraph">
                  <wp:posOffset>898526</wp:posOffset>
                </wp:positionV>
                <wp:extent cx="5014595" cy="695942"/>
                <wp:effectExtent b="0" l="0" r="0" t="0"/>
                <wp:wrapNone/>
                <wp:docPr id="2125782374" name="image13.png"/>
                <a:graphic>
                  <a:graphicData uri="http://schemas.openxmlformats.org/drawingml/2006/picture">
                    <pic:pic>
                      <pic:nvPicPr>
                        <pic:cNvPr id="0" name="image13.png"/>
                        <pic:cNvPicPr preferRelativeResize="0"/>
                      </pic:nvPicPr>
                      <pic:blipFill>
                        <a:blip r:embed="rId9"/>
                        <a:srcRect/>
                        <a:stretch>
                          <a:fillRect/>
                        </a:stretch>
                      </pic:blipFill>
                      <pic:spPr>
                        <a:xfrm>
                          <a:off x="0" y="0"/>
                          <a:ext cx="5014595" cy="695942"/>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-161924</wp:posOffset>
                </wp:positionH>
                <wp:positionV relativeFrom="paragraph">
                  <wp:posOffset>1687866</wp:posOffset>
                </wp:positionV>
                <wp:extent cx="6400800" cy="83819"/>
                <wp:effectExtent b="0" l="0" r="0" t="0"/>
                <wp:wrapNone/>
                <wp:docPr id="2125782377" name=""/>
                <a:graphic>
                  <a:graphicData uri="http://schemas.microsoft.com/office/word/2010/wordprocessingShape">
                    <wps:wsp>
                      <wps:cNvCnPr/>
                      <wps:spPr>
                        <a:xfrm>
                          <a:off x="2164650" y="3757141"/>
                          <a:ext cx="6362700" cy="45719"/>
                        </a:xfrm>
                        <a:prstGeom prst="straightConnector1">
                          <a:avLst/>
                        </a:prstGeom>
                        <a:noFill/>
                        <a:ln cap="flat" cmpd="sng" w="19050">
                          <a:solidFill>
                            <a:srgbClr val="D0CECE"/>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-161924</wp:posOffset>
                </wp:positionH>
                <wp:positionV relativeFrom="paragraph">
                  <wp:posOffset>1687866</wp:posOffset>
                </wp:positionV>
                <wp:extent cx="6400800" cy="83819"/>
                <wp:effectExtent b="0" l="0" r="0" t="0"/>
                <wp:wrapNone/>
                <wp:docPr id="2125782377" name="image16.png"/>
                <a:graphic>
                  <a:graphicData uri="http://schemas.openxmlformats.org/drawingml/2006/picture">
                    <pic:pic>
                      <pic:nvPicPr>
                        <pic:cNvPr id="0" name="image16.png"/>
                        <pic:cNvPicPr preferRelativeResize="0"/>
                      </pic:nvPicPr>
                      <pic:blipFill>
                        <a:blip r:embed="rId9"/>
                        <a:srcRect/>
                        <a:stretch>
                          <a:fillRect/>
                        </a:stretch>
                      </pic:blipFill>
                      <pic:spPr>
                        <a:xfrm>
                          <a:off x="0" y="0"/>
                          <a:ext cx="6400800" cy="83819"/>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-428623</wp:posOffset>
            </wp:positionH>
            <wp:positionV relativeFrom="paragraph">
              <wp:posOffset>942975</wp:posOffset>
            </wp:positionV>
            <wp:extent cx="1771015" cy="371475"/>
            <wp:effectExtent b="0" l="0" r="0" t="0"/>
            <wp:wrapNone/>
            <wp:docPr descr="Interfaz de usuario gráfica&#10;&#10;Descripción generada automáticamente con confianza media" id="2125782387" name="image10.jpg"/>
            <a:graphic>
              <a:graphicData uri="http://schemas.openxmlformats.org/drawingml/2006/picture">
                <pic:pic>
                  <pic:nvPicPr>
                    <pic:cNvPr descr="Interfaz de usuario gráfica&#10;&#10;Descripción generada automáticamente con confianza media" id="0" name="image10.jpg"/>
                    <pic:cNvPicPr preferRelativeResize="0"/>
                  </pic:nvPicPr>
                  <pic:blipFill>
                    <a:blip r:embed="rId13"/>
                    <a:srcRect b="50" l="0" r="0" t="50"/>
                    <a:stretch>
                      <a:fillRect/>
                    </a:stretch>
                  </pic:blipFill>
                  <pic:spPr>
                    <a:xfrm>
                      <a:off x="0" y="0"/>
                      <a:ext cx="1771015" cy="371475"/>
                    </a:xfrm>
                    <a:prstGeom prst="rect"/>
                    <a:ln/>
                  </pic:spPr>
                </pic:pic>
              </a:graphicData>
            </a:graphic>
          </wp:anchor>
        </w:drawing>
      </w:r>
    </w:p>
    <w:p w:rsidR="00000000" w:rsidDel="00000000" w:rsidP="00000000" w:rsidRDefault="00000000" w:rsidRPr="00000000" w14:paraId="00000015">
      <w:pPr>
        <w:keepNext w:val="1"/>
        <w:keepLines w:val="1"/>
        <w:pBdr>
          <w:top w:space="0" w:sz="0" w:val="nil"/>
          <w:left w:space="0" w:sz="0" w:val="nil"/>
          <w:bottom w:space="0" w:sz="0" w:val="nil"/>
          <w:right w:space="0" w:sz="0" w:val="nil"/>
          <w:between w:space="0" w:sz="0" w:val="nil"/>
        </w:pBdr>
        <w:spacing w:after="0" w:line="360" w:lineRule="auto"/>
        <w:rPr>
          <w:rFonts w:ascii="Century Gothic" w:cs="Century Gothic" w:eastAsia="Century Gothic" w:hAnsi="Century Gothic"/>
          <w:b w:val="1"/>
          <w:bCs w:val="1"/>
          <w:color w:val="2e75b5"/>
        </w:rPr>
      </w:pPr>
      <w:r w:rsidDel="00000000" w:rsidR="00000000" w:rsidRPr="00000000">
        <w:rPr>
          <w:rFonts w:ascii="Century Gothic" w:cs="Century Gothic" w:eastAsia="Century Gothic" w:hAnsi="Century Gothic"/>
          <w:b w:val="1"/>
          <w:bCs w:val="1"/>
          <w:color w:val="2e75b5"/>
          <w:rtl w:val="0"/>
        </w:rPr>
        <w:t xml:space="preserve">Table of Content</w:t>
      </w:r>
    </w:p>
    <w:p w:rsidR="00000000" w:rsidDel="00000000" w:rsidP="00000000" w:rsidRDefault="00000000" w:rsidRPr="00000000" w14:paraId="00000016">
      <w:pPr>
        <w:keepNext w:val="1"/>
        <w:keepLines w:val="1"/>
        <w:pageBreakBefore w:val="0"/>
        <w:widowControl w:val="1"/>
        <w:pBdr>
          <w:top w:color="000000" w:space="1" w:sz="12" w:val="single"/>
          <w:left w:space="0" w:sz="0" w:val="nil"/>
          <w:bottom w:color="000000" w:space="1" w:sz="12" w:val="single"/>
          <w:right w:space="0" w:sz="0" w:val="nil"/>
          <w:between w:space="0" w:sz="0" w:val="nil"/>
        </w:pBdr>
        <w:shd w:fill="d9d9d9" w:val="clear"/>
        <w:spacing w:after="40" w:before="220" w:line="259" w:lineRule="auto"/>
        <w:ind w:left="720" w:right="0" w:hanging="360"/>
        <w:jc w:val="left"/>
        <w:rPr>
          <w:rFonts w:ascii="Calibri" w:cs="Calibri" w:eastAsia="Calibri" w:hAnsi="Calibri"/>
          <w:b w:val="1"/>
          <w:bCs w:val="1"/>
          <w:i w:val="0"/>
          <w:iCs w:val="0"/>
          <w:smallCaps w:val="1"/>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1"/>
          <w:strike w:val="0"/>
          <w:color w:val="000000"/>
          <w:sz w:val="24"/>
          <w:szCs w:val="24"/>
          <w:u w:val="none"/>
          <w:shd w:fill="auto" w:val="clear"/>
          <w:vertAlign w:val="baseline"/>
          <w:rtl w:val="0"/>
        </w:rPr>
        <w:t xml:space="preserve">Content</w:t>
      </w:r>
    </w:p>
    <w:sdt>
      <w:sdtPr>
        <w:id w:val="-1591755091"/>
        <w:docPartObj>
          <w:docPartGallery w:val="Table of Contents"/>
          <w:docPartUnique w:val="1"/>
        </w:docPartObj>
      </w:sdtPr>
      <w:sdtContent>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pld303xuwq72">
            <w:r w:rsidDel="00000000" w:rsidR="00000000" w:rsidRPr="00000000">
              <w:rPr>
                <w:rFonts w:ascii="Century Gothic" w:cs="Century Gothic" w:eastAsia="Century Gothic" w:hAnsi="Century Gothic"/>
                <w:b w:val="1"/>
                <w:bCs w:val="1"/>
                <w:i w:val="0"/>
                <w:iCs w:val="0"/>
                <w:smallCaps w:val="0"/>
                <w:strike w:val="0"/>
                <w:color w:val="000000"/>
                <w:sz w:val="22"/>
                <w:szCs w:val="22"/>
                <w:u w:val="none"/>
                <w:shd w:fill="auto" w:val="clear"/>
                <w:vertAlign w:val="baseline"/>
                <w:rtl w:val="0"/>
              </w:rPr>
              <w:t xml:space="preserve">1.- Introduction</w:t>
            </w:r>
          </w:hyperlink>
          <w:hyperlink w:anchor="_heading=h.pld303xuwq72">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3</w:t>
            </w:r>
          </w:hyperlink>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b08cvmitfqkl">
            <w:r w:rsidDel="00000000" w:rsidR="00000000" w:rsidRPr="00000000">
              <w:rPr>
                <w:rFonts w:ascii="Century Gothic" w:cs="Century Gothic" w:eastAsia="Century Gothic" w:hAnsi="Century Gothic"/>
                <w:b w:val="1"/>
                <w:bCs w:val="1"/>
                <w:i w:val="0"/>
                <w:iCs w:val="0"/>
                <w:smallCaps w:val="0"/>
                <w:strike w:val="0"/>
                <w:color w:val="000000"/>
                <w:sz w:val="22"/>
                <w:szCs w:val="22"/>
                <w:u w:val="none"/>
                <w:shd w:fill="auto" w:val="clear"/>
                <w:vertAlign w:val="baseline"/>
                <w:rtl w:val="0"/>
              </w:rPr>
              <w:t xml:space="preserve">2.- Defining the Community Economy</w:t>
            </w:r>
          </w:hyperlink>
          <w:hyperlink w:anchor="_heading=h.b08cvmitfqkl">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4</w:t>
            </w:r>
          </w:hyperlink>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9lj2lo7o4bcp">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2.1 Why is the community economy important?</w:t>
            </w:r>
          </w:hyperlink>
          <w:hyperlink w:anchor="_heading=h.9lj2lo7o4bcp">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6</w:t>
            </w:r>
          </w:hyperlink>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rwjwoz1ha7hh">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2.2 Comparative Analytical Framework between “community-led enterprise” and “community-own enterprise”.</w:t>
            </w:r>
          </w:hyperlink>
          <w:hyperlink w:anchor="_heading=h.rwjwoz1ha7hh">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7</w:t>
            </w:r>
          </w:hyperlink>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l66dc8tul87i">
            <w:r w:rsidDel="00000000" w:rsidR="00000000" w:rsidRPr="00000000">
              <w:rPr>
                <w:rFonts w:ascii="Century Gothic" w:cs="Century Gothic" w:eastAsia="Century Gothic" w:hAnsi="Century Gothic"/>
                <w:b w:val="1"/>
                <w:bCs w:val="1"/>
                <w:i w:val="0"/>
                <w:iCs w:val="0"/>
                <w:smallCaps w:val="0"/>
                <w:strike w:val="0"/>
                <w:color w:val="000000"/>
                <w:sz w:val="22"/>
                <w:szCs w:val="22"/>
                <w:u w:val="none"/>
                <w:shd w:fill="auto" w:val="clear"/>
                <w:vertAlign w:val="baseline"/>
                <w:rtl w:val="0"/>
              </w:rPr>
              <w:t xml:space="preserve">3.- Community Enterprise (CEs), the SDGs, and EU Cohesion Policy</w:t>
            </w:r>
          </w:hyperlink>
          <w:hyperlink w:anchor="_heading=h.l66dc8tul87i">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8</w:t>
            </w:r>
          </w:hyperlink>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o4wwohuceem">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3.1 Alignment with the Sustainable Development Goals (SDGs)</w:t>
            </w:r>
          </w:hyperlink>
          <w:hyperlink w:anchor="_heading=h.o4wwohuceem">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9</w:t>
            </w:r>
          </w:hyperlink>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a6c63u76j9vz">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3.2 Community Enterprise within EU Cohesion Policy (2021–2027)</w:t>
            </w:r>
          </w:hyperlink>
          <w:hyperlink w:anchor="_heading=h.a6c63u76j9vz">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16</w:t>
            </w:r>
          </w:hyperlink>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s5i7ettavll7">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3.3 Community Wealth Building and Smart Specialisation</w:t>
            </w:r>
          </w:hyperlink>
          <w:hyperlink w:anchor="_heading=h.s5i7ettavll7">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17</w:t>
            </w:r>
          </w:hyperlink>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o0l950q2uev">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3.4 Implications for EU Monitoring and Impact Assessment</w:t>
            </w:r>
          </w:hyperlink>
          <w:hyperlink w:anchor="_heading=h.o0l950q2uev">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17</w:t>
            </w:r>
          </w:hyperlink>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ikdfk339v9l7">
            <w:r w:rsidDel="00000000" w:rsidR="00000000" w:rsidRPr="00000000">
              <w:rPr>
                <w:rFonts w:ascii="Century Gothic" w:cs="Century Gothic" w:eastAsia="Century Gothic" w:hAnsi="Century Gothic"/>
                <w:b w:val="1"/>
                <w:bCs w:val="1"/>
                <w:i w:val="0"/>
                <w:iCs w:val="0"/>
                <w:smallCaps w:val="0"/>
                <w:strike w:val="0"/>
                <w:color w:val="000000"/>
                <w:sz w:val="22"/>
                <w:szCs w:val="22"/>
                <w:u w:val="none"/>
                <w:shd w:fill="auto" w:val="clear"/>
                <w:vertAlign w:val="baseline"/>
                <w:rtl w:val="0"/>
              </w:rPr>
              <w:t xml:space="preserve">4.- Global context and contemporary examples</w:t>
            </w:r>
          </w:hyperlink>
          <w:hyperlink w:anchor="_heading=h.ikdfk339v9l7">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19</w:t>
            </w:r>
          </w:hyperlink>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rzw7hxl9552">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Cases: Successful Examples</w:t>
            </w:r>
          </w:hyperlink>
          <w:hyperlink w:anchor="_heading=h.rzw7hxl9552">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19</w:t>
            </w:r>
          </w:hyperlink>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pepa0ldbmqe">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4.1 Permaculture Enterprise</w:t>
            </w:r>
          </w:hyperlink>
          <w:hyperlink w:anchor="_heading=h.pepa0ldbmqe">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19</w:t>
            </w:r>
          </w:hyperlink>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oddwl3f28arj">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4.2 Mondragon Corporation</w:t>
            </w:r>
          </w:hyperlink>
          <w:hyperlink w:anchor="_heading=h.oddwl3f28arj">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22</w:t>
            </w:r>
          </w:hyperlink>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r34ogufga3wk">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4.3 Tamera Ecovillage</w:t>
            </w:r>
          </w:hyperlink>
          <w:hyperlink w:anchor="_heading=h.r34ogufga3wk">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23</w:t>
            </w:r>
          </w:hyperlink>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eqknowk2iegl">
            <w:r w:rsidDel="00000000" w:rsidR="00000000" w:rsidRPr="00000000">
              <w:rPr>
                <w:rFonts w:ascii="Century Gothic" w:cs="Century Gothic" w:eastAsia="Century Gothic" w:hAnsi="Century Gothic"/>
                <w:b w:val="1"/>
                <w:bCs w:val="1"/>
                <w:i w:val="0"/>
                <w:iCs w:val="0"/>
                <w:smallCaps w:val="0"/>
                <w:strike w:val="0"/>
                <w:color w:val="000000"/>
                <w:sz w:val="22"/>
                <w:szCs w:val="22"/>
                <w:u w:val="none"/>
                <w:shd w:fill="auto" w:val="clear"/>
                <w:vertAlign w:val="baseline"/>
                <w:rtl w:val="0"/>
              </w:rPr>
              <w:t xml:space="preserve">5.- Core Principles of the Community-led Economy</w:t>
            </w:r>
          </w:hyperlink>
          <w:hyperlink w:anchor="_heading=h.eqknowk2iegl">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25</w:t>
            </w:r>
          </w:hyperlink>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o7juq7l1x4gd">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5.1</w:t>
            </w:r>
          </w:hyperlink>
          <w:hyperlink w:anchor="_heading=h.o7juq7l1x4gd">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_heading=h.o7juq7l1x4gd \h </w:instrText>
            <w:fldChar w:fldCharType="separate"/>
          </w:r>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Social principles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25</w:t>
          </w:r>
          <w:r w:rsidDel="00000000" w:rsidR="00000000" w:rsidRPr="00000000">
            <w:fldChar w:fldCharType="end"/>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vrycan8znpp7">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5.2</w:t>
            </w:r>
          </w:hyperlink>
          <w:hyperlink w:anchor="_heading=h.vrycan8znpp7">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_heading=h.vrycan8znpp7 \h </w:instrText>
            <w:fldChar w:fldCharType="separate"/>
          </w:r>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Environmental principles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25</w:t>
          </w:r>
          <w:r w:rsidDel="00000000" w:rsidR="00000000" w:rsidRPr="00000000">
            <w:fldChar w:fldCharType="end"/>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c7ql23sivapc">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5.3</w:t>
            </w:r>
          </w:hyperlink>
          <w:hyperlink w:anchor="_heading=h.c7ql23sivapc">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_heading=h.c7ql23sivapc \h </w:instrText>
            <w:fldChar w:fldCharType="separate"/>
          </w:r>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Cultural principles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60"/>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yhuq3me4993p">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5.4</w:t>
            </w:r>
          </w:hyperlink>
          <w:hyperlink w:anchor="_heading=h.yhuq3me4993p">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_heading=h.yhuq3me4993p \h </w:instrText>
            <w:fldChar w:fldCharType="separate"/>
          </w:r>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Territorial principles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50"/>
            </w:tabs>
            <w:spacing w:after="100" w:before="0" w:line="259" w:lineRule="auto"/>
            <w:ind w:left="22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hyperlink w:anchor="_heading=h.grdf4l2wq669">
            <w:r w:rsidDel="00000000" w:rsidR="00000000" w:rsidRPr="00000000">
              <w:rPr>
                <w:rFonts w:ascii="Century Gothic" w:cs="Century Gothic" w:eastAsia="Century Gothic" w:hAnsi="Century Gothic"/>
                <w:b w:val="1"/>
                <w:bCs w:val="1"/>
                <w:i w:val="0"/>
                <w:iCs w:val="0"/>
                <w:smallCaps w:val="0"/>
                <w:strike w:val="0"/>
                <w:color w:val="000000"/>
                <w:sz w:val="22"/>
                <w:szCs w:val="22"/>
                <w:u w:val="none"/>
                <w:shd w:fill="auto" w:val="clear"/>
                <w:vertAlign w:val="baseline"/>
                <w:rtl w:val="0"/>
              </w:rPr>
              <w:t xml:space="preserve">6.- References</w:t>
            </w:r>
          </w:hyperlink>
          <w:hyperlink w:anchor="_heading=h.grdf4l2wq669">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ab/>
              <w:t xml:space="preserve">28</w:t>
            </w:r>
          </w:hyperlink>
          <w:r w:rsidDel="00000000" w:rsidR="00000000" w:rsidRPr="00000000">
            <w:rPr>
              <w:rtl w:val="0"/>
            </w:rPr>
          </w:r>
        </w:p>
        <w:p w:rsidR="00000000" w:rsidDel="00000000" w:rsidP="00000000" w:rsidRDefault="00000000" w:rsidRPr="00000000" w14:paraId="0000002B">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C">
      <w:pPr>
        <w:widowControl w:val="0"/>
        <w:tabs>
          <w:tab w:val="right" w:leader="none" w:pos="12000"/>
        </w:tabs>
        <w:spacing w:after="0" w:before="60" w:line="240" w:lineRule="auto"/>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2D">
      <w:pPr>
        <w:rPr>
          <w:rFonts w:ascii="Arial" w:cs="Arial" w:eastAsia="Arial" w:hAnsi="Arial"/>
          <w:b w:val="1"/>
          <w:bCs w:val="1"/>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2E">
      <w:pPr>
        <w:widowControl w:val="0"/>
        <w:tabs>
          <w:tab w:val="right" w:leader="none" w:pos="12000"/>
        </w:tabs>
        <w:spacing w:after="0" w:before="60" w:line="240" w:lineRule="auto"/>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2F">
      <w:pPr>
        <w:widowControl w:val="0"/>
        <w:tabs>
          <w:tab w:val="right" w:leader="none" w:pos="12000"/>
        </w:tabs>
        <w:spacing w:after="0" w:before="60" w:line="240" w:lineRule="auto"/>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30">
      <w:pPr>
        <w:widowControl w:val="0"/>
        <w:tabs>
          <w:tab w:val="right" w:leader="none" w:pos="12000"/>
        </w:tabs>
        <w:spacing w:after="0" w:before="60" w:line="240" w:lineRule="auto"/>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31">
      <w:pPr>
        <w:pBdr>
          <w:top w:color="000000" w:space="1" w:sz="12" w:val="single"/>
          <w:bottom w:color="000000" w:space="1" w:sz="12" w:val="single"/>
        </w:pBdr>
        <w:shd w:fill="d9d9d9" w:val="clear"/>
        <w:rPr>
          <w:rFonts w:ascii="Century Gothic" w:cs="Century Gothic" w:eastAsia="Century Gothic" w:hAnsi="Century Gothic"/>
          <w:i w:val="1"/>
          <w:iCs w:val="1"/>
          <w:color w:val="5b9bd5"/>
          <w:sz w:val="32"/>
          <w:szCs w:val="32"/>
        </w:rPr>
      </w:pPr>
      <w:bookmarkStart w:colFirst="0" w:colLast="0" w:name="_heading=h.30j0zll" w:id="0"/>
      <w:bookmarkEnd w:id="0"/>
      <w:r w:rsidDel="00000000" w:rsidR="00000000" w:rsidRPr="00000000">
        <w:rPr>
          <w:rFonts w:ascii="Century Gothic" w:cs="Century Gothic" w:eastAsia="Century Gothic" w:hAnsi="Century Gothic"/>
          <w:i w:val="1"/>
          <w:iCs w:val="1"/>
          <w:color w:val="5b9bd5"/>
          <w:sz w:val="32"/>
          <w:szCs w:val="32"/>
          <w:rtl w:val="0"/>
        </w:rPr>
        <w:t xml:space="preserve">THE COMMUNITY ECONOMY: INTRODUCTION AND CONTEXT</w:t>
      </w:r>
    </w:p>
    <w:p w:rsidR="00000000" w:rsidDel="00000000" w:rsidP="00000000" w:rsidRDefault="00000000" w:rsidRPr="00000000" w14:paraId="00000032">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Community enterprise has emerged as a central mechanism for local development, social innovation, and territorial resilience in Europe. However, conceptual ambiguity persists between two closely related constructs: Community-Led Enterprise (CLE) and Community-Owned Enterprise (COE). This doc-book provides conceptual clarification. It distinguishes these models along dimensions of agency, ownership, governance, and asset control. The doc-book identifies academic sources and analyzes their contributions. The doc-book also illustrates case examples where interested learners can deep inside. </w:t>
      </w:r>
    </w:p>
    <w:p w:rsidR="00000000" w:rsidDel="00000000" w:rsidP="00000000" w:rsidRDefault="00000000" w:rsidRPr="00000000" w14:paraId="00000033">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If this doc-book sparks your curiosity, PATHFINDER+ project consortium encourages you to go further and we invite you to log in to PATHFINDER+ Learning Modules.</w:t>
      </w:r>
    </w:p>
    <w:p w:rsidR="00000000" w:rsidDel="00000000" w:rsidP="00000000" w:rsidRDefault="00000000" w:rsidRPr="00000000" w14:paraId="00000034">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doc-book explores the basic principles of community economics from the social, environmental, cultural and territorial perspective, focusing on cooperation, solidarity and social utility. It addresses how these economic activities seek the well-being of the community over profit. The origin and development of the social economy as a response to the problems not solved by the market and the state is analyzed. Its impact on social inclusion and local development is also explored in order to promote democratic participation. Public policies and laws that protect this type of community organizations are studied and it analyzes how these regulations are supported and protected. </w:t>
      </w:r>
    </w:p>
    <w:p w:rsidR="00000000" w:rsidDel="00000000" w:rsidP="00000000" w:rsidRDefault="00000000" w:rsidRPr="00000000" w14:paraId="00000035">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doc-book also provides a solid basis for understanding how the community economy can positively influence society and contribute to sustainable development (SDGs).</w:t>
      </w:r>
    </w:p>
    <w:p w:rsidR="00000000" w:rsidDel="00000000" w:rsidP="00000000" w:rsidRDefault="00000000" w:rsidRPr="00000000" w14:paraId="00000036">
      <w:pPr>
        <w:rPr>
          <w:rFonts w:ascii="Century Gothic" w:cs="Century Gothic" w:eastAsia="Century Gothic" w:hAnsi="Century Gothic"/>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37">
      <w:pPr>
        <w:pStyle w:val="Heading2"/>
        <w:rPr>
          <w:rFonts w:ascii="Century Gothic" w:cs="Century Gothic" w:eastAsia="Century Gothic" w:hAnsi="Century Gothic"/>
          <w:b w:val="1"/>
          <w:bCs w:val="1"/>
        </w:rPr>
      </w:pPr>
      <w:bookmarkStart w:colFirst="0" w:colLast="0" w:name="_heading=h.pld303xuwq72" w:id="1"/>
      <w:bookmarkEnd w:id="1"/>
      <w:r w:rsidDel="00000000" w:rsidR="00000000" w:rsidRPr="00000000">
        <w:rPr>
          <w:rFonts w:ascii="Century Gothic" w:cs="Century Gothic" w:eastAsia="Century Gothic" w:hAnsi="Century Gothic"/>
          <w:b w:val="1"/>
          <w:bCs w:val="1"/>
          <w:rtl w:val="0"/>
        </w:rPr>
        <w:t xml:space="preserve">1.- Introduction</w:t>
      </w:r>
    </w:p>
    <w:p w:rsidR="00000000" w:rsidDel="00000000" w:rsidP="00000000" w:rsidRDefault="00000000" w:rsidRPr="00000000" w14:paraId="00000038">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Across Europe, community-based economic models have gained importance as responses to geographical inequality, depopulation, energy transition, and social exclusion. The rise of the social economy, cooperative movements, and community wealth-building strategies reflects a change and a rethinking of economic governance and territorial development (OECD, 2019).</w:t>
      </w:r>
    </w:p>
    <w:p w:rsidR="00000000" w:rsidDel="00000000" w:rsidP="00000000" w:rsidRDefault="00000000" w:rsidRPr="00000000" w14:paraId="00000039">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community economy represents a fundamental shift in our understanding of economic systems. Unlike traditional, profit-oriented models, this approach places the community and its well-being at the center of economic activity. Rooted in principles of social justice, environmental sustainability, cultural values and territorial cohesion, this economy seeks to provide locally driven solutions to social, economic, cultural and environmental challenges.</w:t>
      </w:r>
    </w:p>
    <w:p w:rsidR="00000000" w:rsidDel="00000000" w:rsidP="00000000" w:rsidRDefault="00000000" w:rsidRPr="00000000" w14:paraId="0000003A">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Let´s start with a conceptual approach. Terms such as community-led, community-based, and community-owned are often used interchangeably. However, conflating leadership and ownership obscures critical distinctions in governance, power distribution, and long-term economic impact.</w:t>
      </w:r>
    </w:p>
    <w:p w:rsidR="00000000" w:rsidDel="00000000" w:rsidP="00000000" w:rsidRDefault="00000000" w:rsidRPr="00000000" w14:paraId="0000003B">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doc-book addresses these terms trying to answer the following main questions:</w:t>
      </w:r>
    </w:p>
    <w:p w:rsidR="00000000" w:rsidDel="00000000" w:rsidP="00000000" w:rsidRDefault="00000000" w:rsidRPr="00000000" w14:paraId="0000003C">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What are the theoretical distinctions between Community-Led Enterprise (CLE) and Community-Owned Enterprise (COE)?</w:t>
      </w:r>
    </w:p>
    <w:p w:rsidR="00000000" w:rsidDel="00000000" w:rsidP="00000000" w:rsidRDefault="00000000" w:rsidRPr="00000000" w14:paraId="0000003D">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How do these models differ in governance, ownership, and development impact?</w:t>
      </w:r>
    </w:p>
    <w:p w:rsidR="00000000" w:rsidDel="00000000" w:rsidP="00000000" w:rsidRDefault="00000000" w:rsidRPr="00000000" w14:paraId="0000003E">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How can the community economy contribute to Sustainable Development Goals (SDGs)?</w:t>
      </w:r>
    </w:p>
    <w:p w:rsidR="00000000" w:rsidDel="00000000" w:rsidP="00000000" w:rsidRDefault="00000000" w:rsidRPr="00000000" w14:paraId="0000003F">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And what insights can we learn from European case examples?</w:t>
      </w:r>
    </w:p>
    <w:p w:rsidR="00000000" w:rsidDel="00000000" w:rsidP="00000000" w:rsidRDefault="00000000" w:rsidRPr="00000000" w14:paraId="00000040">
      <w:pPr>
        <w:rPr>
          <w:rFonts w:ascii="Century Gothic" w:cs="Century Gothic" w:eastAsia="Century Gothic" w:hAnsi="Century Gothic"/>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41">
      <w:pPr>
        <w:pStyle w:val="Heading2"/>
        <w:rPr>
          <w:rFonts w:ascii="Century Gothic" w:cs="Century Gothic" w:eastAsia="Century Gothic" w:hAnsi="Century Gothic"/>
          <w:b w:val="1"/>
          <w:bCs w:val="1"/>
        </w:rPr>
      </w:pPr>
      <w:bookmarkStart w:colFirst="0" w:colLast="0" w:name="_heading=h.b08cvmitfqkl" w:id="2"/>
      <w:bookmarkEnd w:id="2"/>
      <w:r w:rsidDel="00000000" w:rsidR="00000000" w:rsidRPr="00000000">
        <w:rPr>
          <w:rFonts w:ascii="Century Gothic" w:cs="Century Gothic" w:eastAsia="Century Gothic" w:hAnsi="Century Gothic"/>
          <w:b w:val="1"/>
          <w:bCs w:val="1"/>
          <w:rtl w:val="0"/>
        </w:rPr>
        <w:t xml:space="preserve">2.- Defining the Community Economy</w:t>
      </w:r>
    </w:p>
    <w:p w:rsidR="00000000" w:rsidDel="00000000" w:rsidP="00000000" w:rsidRDefault="00000000" w:rsidRPr="00000000" w14:paraId="00000042">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doc-book has identified the following fundamental works for the conceptual approach.</w:t>
      </w:r>
    </w:p>
    <w:p w:rsidR="00000000" w:rsidDel="00000000" w:rsidP="00000000" w:rsidRDefault="00000000" w:rsidRPr="00000000" w14:paraId="00000043">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Peredo and Chrisman (2006) provide the seminal theoretical articulation of community-based enterprise. They define it as an organization “owned, managed, and governed by the people in a community.” Their framework introduces ownership and collective agency as defining criteria.</w:t>
      </w:r>
    </w:p>
    <w:p w:rsidR="00000000" w:rsidDel="00000000" w:rsidP="00000000" w:rsidRDefault="00000000" w:rsidRPr="00000000" w14:paraId="00000044">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Haugh (2007) emphasizes process. She focuses on community-led social venture creation. She conceptualizes enterprise as emerging from participatory mobilization rather than ownership structures alone.</w:t>
      </w:r>
    </w:p>
    <w:p w:rsidR="00000000" w:rsidDel="00000000" w:rsidP="00000000" w:rsidRDefault="00000000" w:rsidRPr="00000000" w14:paraId="00000045">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Somerville and McElwee (2011) contribute theoretical refinement. They placed community enterprise within regional development and cooperative traditions and distinguished degrees of community control.</w:t>
      </w:r>
    </w:p>
    <w:p w:rsidR="00000000" w:rsidDel="00000000" w:rsidP="00000000" w:rsidRDefault="00000000" w:rsidRPr="00000000" w14:paraId="00000046">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Ridley-Duff and Bull (2016) examine democratic governance and asset lock mechanisms within social enterprise. They offer analytical tools to differentiate ownership models.</w:t>
      </w:r>
    </w:p>
    <w:p w:rsidR="00000000" w:rsidDel="00000000" w:rsidP="00000000" w:rsidRDefault="00000000" w:rsidRPr="00000000" w14:paraId="00000047">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Finally, OECD (2019) contextualizes community enterprise within policy debates, and highlights its role in employment, innovation, and inclusive growth.</w:t>
      </w:r>
    </w:p>
    <w:p w:rsidR="00000000" w:rsidDel="00000000" w:rsidP="00000000" w:rsidRDefault="00000000" w:rsidRPr="00000000" w14:paraId="00000048">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Together, these sources reveal two central analytical dimensions:</w:t>
      </w:r>
    </w:p>
    <w:p w:rsidR="00000000" w:rsidDel="00000000" w:rsidP="00000000" w:rsidRDefault="00000000" w:rsidRPr="00000000" w14:paraId="00000049">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Agency (who initiates and leads?)</w:t>
      </w:r>
    </w:p>
    <w:p w:rsidR="00000000" w:rsidDel="00000000" w:rsidP="00000000" w:rsidRDefault="00000000" w:rsidRPr="00000000" w14:paraId="0000004A">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Ownership (who owns and controls assets?)</w:t>
      </w:r>
    </w:p>
    <w:p w:rsidR="00000000" w:rsidDel="00000000" w:rsidP="00000000" w:rsidRDefault="00000000" w:rsidRPr="00000000" w14:paraId="0000004B">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term "</w:t>
      </w:r>
      <w:r w:rsidDel="00000000" w:rsidR="00000000" w:rsidRPr="00000000">
        <w:rPr>
          <w:rFonts w:ascii="Century Gothic" w:cs="Century Gothic" w:eastAsia="Century Gothic" w:hAnsi="Century Gothic"/>
          <w:b w:val="1"/>
          <w:bCs w:val="1"/>
          <w:sz w:val="24"/>
          <w:szCs w:val="24"/>
          <w:rtl w:val="0"/>
        </w:rPr>
        <w:t xml:space="preserve">community-led economy</w:t>
      </w:r>
      <w:r w:rsidDel="00000000" w:rsidR="00000000" w:rsidRPr="00000000">
        <w:rPr>
          <w:rFonts w:ascii="Century Gothic" w:cs="Century Gothic" w:eastAsia="Century Gothic" w:hAnsi="Century Gothic"/>
          <w:sz w:val="24"/>
          <w:szCs w:val="24"/>
          <w:rtl w:val="0"/>
        </w:rPr>
        <w:t xml:space="preserve">" (CLE) refers to an economic model in which decision-making and economic activities are driven by the needs, values, and participation of the local community. Unlike centralized economic systems, where decisions are often top-down, community-led economies prioritize inclusivity, grassroots leadership, and shared benefits. This model thrives on collaboration among local stakeholders, including residents, businesses, policymakers, and civil society organizations.</w:t>
      </w:r>
    </w:p>
    <w:p w:rsidR="00000000" w:rsidDel="00000000" w:rsidP="00000000" w:rsidRDefault="00000000" w:rsidRPr="00000000" w14:paraId="0000004C">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 key component of a community-led economy is the presence of community-led enterprises (CLEs), which blend economic activity with a strong emphasis on social benefit. CLEs are independent organizations that engage in the continuous production of goods or services, much like traditional businesses. However, unlike for-profit enterprises that focus on maximizing shareholder returns (Demozzi &amp; Zandonai, 2008), CLEs prioritize the well-being of the local community (Sforzi &amp; Bianchi, 2020). As such, they are gaining significant traction as a means of addressing social, economic, and environmental challenges, particularly in rural areas where entrepreneurial developments have historically moved away from local communities (Dinnie &amp; Fischer, 2020).</w:t>
      </w:r>
    </w:p>
    <w:p w:rsidR="00000000" w:rsidDel="00000000" w:rsidP="00000000" w:rsidRDefault="00000000" w:rsidRPr="00000000" w14:paraId="0000004D">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Despite their growing importance, CLEs face challenges related to legal recognition, as different countries have varying frameworks for legalizing such entities. Since they do not always fit neatly within existing organizational structures, policymakers must consider flexible approaches to support their development. Nonetheless, community-led economies and CLEs offer a promising pathway for fostering economic resilience, social cohesion, and sustainable local development.</w:t>
      </w:r>
    </w:p>
    <w:p w:rsidR="00000000" w:rsidDel="00000000" w:rsidP="00000000" w:rsidRDefault="00000000" w:rsidRPr="00000000" w14:paraId="0000004E">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legal forms and nature of businesses vary across different countries, Olmedo et. al (2019). When assessing whether a company can be classified as community-led or community-based it should adhere to these characteristics:</w:t>
      </w:r>
    </w:p>
    <w:p w:rsidR="00000000" w:rsidDel="00000000" w:rsidP="00000000" w:rsidRDefault="00000000" w:rsidRPr="00000000" w14:paraId="0000004F">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CLEs are deeply rooted in their communities. They are often geographically or community defined and prioritize the well-being of their community members (Esteves et al., 2021; Kleinhans et al., 2019).</w:t>
      </w:r>
    </w:p>
    <w:p w:rsidR="00000000" w:rsidDel="00000000" w:rsidP="00000000" w:rsidRDefault="00000000" w:rsidRPr="00000000" w14:paraId="00000050">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Social Mission. Beyond economic activity, CLEs aim to achieve positive social and environmental outcomes. They may empower disadvantaged populations, create jobs, or revitalise local economies (Esteves et al., 2021; Roberts &amp; Sykes, 2000).</w:t>
      </w:r>
    </w:p>
    <w:p w:rsidR="00000000" w:rsidDel="00000000" w:rsidP="00000000" w:rsidRDefault="00000000" w:rsidRPr="00000000" w14:paraId="00000051">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Collective Ownership and Governance. Decision-making is often democratic, involving community members and stakeholders. This participatory approach fosters a sense of ownership and shared responsibility (Sakolnakorn &amp; Naipinit, 2013).</w:t>
      </w:r>
    </w:p>
    <w:p w:rsidR="00000000" w:rsidDel="00000000" w:rsidP="00000000" w:rsidRDefault="00000000" w:rsidRPr="00000000" w14:paraId="00000052">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Hybridity. CLEs blend features of different sectors. They may operate like businesses, generate income, and reinvest profits back into the community. This "hybrid" approach allows them to pursue both social and financial goals (Doherty et al., 2014; Kleinhans et al., 2019).</w:t>
      </w:r>
    </w:p>
    <w:p w:rsidR="00000000" w:rsidDel="00000000" w:rsidP="00000000" w:rsidRDefault="00000000" w:rsidRPr="00000000" w14:paraId="00000053">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Relationship Building. CLEs forge strong relationships with stakeholders within and beyond the community. Building trust and collaboration with local institutions and organizations is crucial for their success (Esteves et al., 2021).</w:t>
      </w:r>
    </w:p>
    <w:p w:rsidR="00000000" w:rsidDel="00000000" w:rsidP="00000000" w:rsidRDefault="00000000" w:rsidRPr="00000000" w14:paraId="00000054">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b w:val="1"/>
          <w:bCs w:val="1"/>
          <w:sz w:val="24"/>
          <w:szCs w:val="24"/>
          <w:rtl w:val="0"/>
        </w:rPr>
        <w:t xml:space="preserve">Community-Led Enterprise (CLEs)</w:t>
      </w:r>
      <w:r w:rsidDel="00000000" w:rsidR="00000000" w:rsidRPr="00000000">
        <w:rPr>
          <w:rFonts w:ascii="Century Gothic" w:cs="Century Gothic" w:eastAsia="Century Gothic" w:hAnsi="Century Gothic"/>
          <w:sz w:val="24"/>
          <w:szCs w:val="24"/>
          <w:rtl w:val="0"/>
        </w:rPr>
        <w:t xml:space="preserve"> has to do with entrepreneurial initiatives that have started and are strategically guided by members of a community to address local needs or opportunities (Haugh, 2007).</w:t>
      </w:r>
    </w:p>
    <w:p w:rsidR="00000000" w:rsidDel="00000000" w:rsidP="00000000" w:rsidRDefault="00000000" w:rsidRPr="00000000" w14:paraId="00000055">
      <w:pPr>
        <w:jc w:val="both"/>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56">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Key Characteristics: </w:t>
      </w:r>
    </w:p>
    <w:p w:rsidR="00000000" w:rsidDel="00000000" w:rsidP="00000000" w:rsidRDefault="00000000" w:rsidRPr="00000000" w14:paraId="0000005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Local agency and participatory mobilization</w:t>
      </w:r>
    </w:p>
    <w:p w:rsidR="00000000" w:rsidDel="00000000" w:rsidP="00000000" w:rsidRDefault="00000000" w:rsidRPr="00000000" w14:paraId="0000005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Bottom-up initiative</w:t>
      </w:r>
    </w:p>
    <w:p w:rsidR="00000000" w:rsidDel="00000000" w:rsidP="00000000" w:rsidRDefault="00000000" w:rsidRPr="00000000" w14:paraId="0000005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Flexible legal structure</w:t>
      </w:r>
    </w:p>
    <w:p w:rsidR="00000000" w:rsidDel="00000000" w:rsidP="00000000" w:rsidRDefault="00000000" w:rsidRPr="00000000" w14:paraId="0000005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Focus on social or territorial impact</w:t>
      </w:r>
    </w:p>
    <w:p w:rsidR="00000000" w:rsidDel="00000000" w:rsidP="00000000" w:rsidRDefault="00000000" w:rsidRPr="00000000" w14:paraId="0000005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Ownership structure may vary</w:t>
      </w:r>
    </w:p>
    <w:p w:rsidR="00000000" w:rsidDel="00000000" w:rsidP="00000000" w:rsidRDefault="00000000" w:rsidRPr="00000000" w14:paraId="0000005C">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defining feature is leadership and decision-making authority rooted in the community, regardless of formal ownership arrangements.</w:t>
      </w:r>
    </w:p>
    <w:p w:rsidR="00000000" w:rsidDel="00000000" w:rsidP="00000000" w:rsidRDefault="00000000" w:rsidRPr="00000000" w14:paraId="0000005D">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CLE emphasizes process over property. It reflects empowerment dynamics and social innovation rather than necessarily structural economic redistribution.</w:t>
      </w:r>
    </w:p>
    <w:p w:rsidR="00000000" w:rsidDel="00000000" w:rsidP="00000000" w:rsidRDefault="00000000" w:rsidRPr="00000000" w14:paraId="0000005E">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b w:val="1"/>
          <w:bCs w:val="1"/>
          <w:sz w:val="24"/>
          <w:szCs w:val="24"/>
          <w:rtl w:val="0"/>
        </w:rPr>
        <w:t xml:space="preserve">Community-Owned Enterprise (COE)</w:t>
      </w:r>
      <w:r w:rsidDel="00000000" w:rsidR="00000000" w:rsidRPr="00000000">
        <w:rPr>
          <w:rFonts w:ascii="Century Gothic" w:cs="Century Gothic" w:eastAsia="Century Gothic" w:hAnsi="Century Gothic"/>
          <w:sz w:val="24"/>
          <w:szCs w:val="24"/>
          <w:rtl w:val="0"/>
        </w:rPr>
        <w:t xml:space="preserve"> refers to an enterprise in which ownership rights and assets are collectively held by members of a defined community (Peredo &amp; Chrisman, 2006).</w:t>
      </w:r>
    </w:p>
    <w:p w:rsidR="00000000" w:rsidDel="00000000" w:rsidP="00000000" w:rsidRDefault="00000000" w:rsidRPr="00000000" w14:paraId="0000005F">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Key Characteristics</w:t>
      </w:r>
    </w:p>
    <w:p w:rsidR="00000000" w:rsidDel="00000000" w:rsidP="00000000" w:rsidRDefault="00000000" w:rsidRPr="00000000" w14:paraId="0000006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Collective or cooperative ownership</w:t>
      </w:r>
    </w:p>
    <w:p w:rsidR="00000000" w:rsidDel="00000000" w:rsidP="00000000" w:rsidRDefault="00000000" w:rsidRPr="00000000" w14:paraId="0000006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Formal democratic governance</w:t>
      </w:r>
    </w:p>
    <w:p w:rsidR="00000000" w:rsidDel="00000000" w:rsidP="00000000" w:rsidRDefault="00000000" w:rsidRPr="00000000" w14:paraId="0000006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Asset lock mechanisms</w:t>
      </w:r>
    </w:p>
    <w:p w:rsidR="00000000" w:rsidDel="00000000" w:rsidP="00000000" w:rsidRDefault="00000000" w:rsidRPr="00000000" w14:paraId="0000006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Redistribution or reinvestment of profits locally</w:t>
      </w:r>
    </w:p>
    <w:p w:rsidR="00000000" w:rsidDel="00000000" w:rsidP="00000000" w:rsidRDefault="00000000" w:rsidRPr="00000000" w14:paraId="0000006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Legal codification of ownership</w:t>
      </w:r>
    </w:p>
    <w:p w:rsidR="00000000" w:rsidDel="00000000" w:rsidP="00000000" w:rsidRDefault="00000000" w:rsidRPr="00000000" w14:paraId="00000065">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COE emphasizes structural control of capital and long-term asset retention within the community.</w:t>
      </w:r>
    </w:p>
    <w:p w:rsidR="00000000" w:rsidDel="00000000" w:rsidP="00000000" w:rsidRDefault="00000000" w:rsidRPr="00000000" w14:paraId="00000066">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Ownership is not symbolic but legally enforceable.</w:t>
      </w:r>
    </w:p>
    <w:p w:rsidR="00000000" w:rsidDel="00000000" w:rsidP="00000000" w:rsidRDefault="00000000" w:rsidRPr="00000000" w14:paraId="00000067">
      <w:pPr>
        <w:jc w:val="both"/>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68">
      <w:pPr>
        <w:pStyle w:val="Heading2"/>
        <w:rPr>
          <w:rFonts w:ascii="Century Gothic" w:cs="Century Gothic" w:eastAsia="Century Gothic" w:hAnsi="Century Gothic"/>
        </w:rPr>
      </w:pPr>
      <w:bookmarkStart w:colFirst="0" w:colLast="0" w:name="_heading=h.9lj2lo7o4bcp" w:id="3"/>
      <w:bookmarkEnd w:id="3"/>
      <w:r w:rsidDel="00000000" w:rsidR="00000000" w:rsidRPr="00000000">
        <w:rPr>
          <w:rFonts w:ascii="Century Gothic" w:cs="Century Gothic" w:eastAsia="Century Gothic" w:hAnsi="Century Gothic"/>
          <w:rtl w:val="0"/>
        </w:rPr>
        <w:t xml:space="preserve">2.1 Why is the community economy important?</w:t>
      </w:r>
    </w:p>
    <w:p w:rsidR="00000000" w:rsidDel="00000000" w:rsidP="00000000" w:rsidRDefault="00000000" w:rsidRPr="00000000" w14:paraId="00000069">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 today’s globalized world, local communities often face challenges such as economic inequality, social fragmentation, environmental degradation, and loss of cultural identity. The community economy offers a solution by:</w:t>
      </w:r>
    </w:p>
    <w:p w:rsidR="00000000" w:rsidDel="00000000" w:rsidP="00000000" w:rsidRDefault="00000000" w:rsidRPr="00000000" w14:paraId="0000006A">
      <w:pPr>
        <w:numPr>
          <w:ilvl w:val="0"/>
          <w:numId w:val="7"/>
        </w:numPr>
        <w:pBdr>
          <w:top w:space="0" w:sz="0" w:val="nil"/>
          <w:left w:space="0" w:sz="0" w:val="nil"/>
          <w:bottom w:space="0" w:sz="0" w:val="nil"/>
          <w:right w:space="0" w:sz="0" w:val="nil"/>
          <w:between w:space="0" w:sz="0" w:val="nil"/>
        </w:pBdr>
        <w:spacing w:after="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Encouraging sustainable economic practices.</w:t>
      </w:r>
      <w:r w:rsidDel="00000000" w:rsidR="00000000" w:rsidRPr="00000000">
        <w:rPr>
          <w:rtl w:val="0"/>
        </w:rPr>
      </w:r>
    </w:p>
    <w:p w:rsidR="00000000" w:rsidDel="00000000" w:rsidP="00000000" w:rsidRDefault="00000000" w:rsidRPr="00000000" w14:paraId="0000006B">
      <w:pPr>
        <w:numPr>
          <w:ilvl w:val="0"/>
          <w:numId w:val="7"/>
        </w:numPr>
        <w:pBdr>
          <w:top w:space="0" w:sz="0" w:val="nil"/>
          <w:left w:space="0" w:sz="0" w:val="nil"/>
          <w:bottom w:space="0" w:sz="0" w:val="nil"/>
          <w:right w:space="0" w:sz="0" w:val="nil"/>
          <w:between w:space="0" w:sz="0" w:val="nil"/>
        </w:pBdr>
        <w:spacing w:after="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Empowering marginalized groups.</w:t>
      </w:r>
      <w:r w:rsidDel="00000000" w:rsidR="00000000" w:rsidRPr="00000000">
        <w:rPr>
          <w:rtl w:val="0"/>
        </w:rPr>
      </w:r>
    </w:p>
    <w:p w:rsidR="00000000" w:rsidDel="00000000" w:rsidP="00000000" w:rsidRDefault="00000000" w:rsidRPr="00000000" w14:paraId="0000006C">
      <w:pPr>
        <w:numPr>
          <w:ilvl w:val="0"/>
          <w:numId w:val="7"/>
        </w:numPr>
        <w:pBdr>
          <w:top w:space="0" w:sz="0" w:val="nil"/>
          <w:left w:space="0" w:sz="0" w:val="nil"/>
          <w:bottom w:space="0" w:sz="0" w:val="nil"/>
          <w:right w:space="0" w:sz="0" w:val="nil"/>
          <w:between w:space="0" w:sz="0" w:val="nil"/>
        </w:pBdr>
        <w:spacing w:after="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Enhancing regional development.</w:t>
      </w:r>
      <w:r w:rsidDel="00000000" w:rsidR="00000000" w:rsidRPr="00000000">
        <w:rPr>
          <w:rtl w:val="0"/>
        </w:rPr>
      </w:r>
    </w:p>
    <w:p w:rsidR="00000000" w:rsidDel="00000000" w:rsidP="00000000" w:rsidRDefault="00000000" w:rsidRPr="00000000" w14:paraId="0000006D">
      <w:pPr>
        <w:numPr>
          <w:ilvl w:val="0"/>
          <w:numId w:val="7"/>
        </w:numPr>
        <w:pBdr>
          <w:top w:space="0" w:sz="0" w:val="nil"/>
          <w:left w:space="0" w:sz="0" w:val="nil"/>
          <w:bottom w:space="0" w:sz="0" w:val="nil"/>
          <w:right w:space="0" w:sz="0" w:val="nil"/>
          <w:between w:space="0" w:sz="0" w:val="nil"/>
        </w:pBdr>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Strengthening community bonds.</w:t>
      </w:r>
      <w:r w:rsidDel="00000000" w:rsidR="00000000" w:rsidRPr="00000000">
        <w:rPr>
          <w:rtl w:val="0"/>
        </w:rPr>
      </w:r>
    </w:p>
    <w:p w:rsidR="00000000" w:rsidDel="00000000" w:rsidP="00000000" w:rsidRDefault="00000000" w:rsidRPr="00000000" w14:paraId="0000006E">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These aspects are particularly important in addressing global challenges like climate change, rising social inequality, and the decline of rural areas.</w:t>
      </w:r>
    </w:p>
    <w:p w:rsidR="00000000" w:rsidDel="00000000" w:rsidP="00000000" w:rsidRDefault="00000000" w:rsidRPr="00000000" w14:paraId="0000006F">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For policymakers the CLE implies:</w:t>
      </w:r>
    </w:p>
    <w:p w:rsidR="00000000" w:rsidDel="00000000" w:rsidP="00000000" w:rsidRDefault="00000000" w:rsidRPr="00000000" w14:paraId="0000007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Supporting CLE requires capacity-building and participatory governance frameworks.</w:t>
      </w:r>
    </w:p>
    <w:p w:rsidR="00000000" w:rsidDel="00000000" w:rsidP="00000000" w:rsidRDefault="00000000" w:rsidRPr="00000000" w14:paraId="0000007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Supporting COE requires legal mechanisms, cooperative finance, and asset lock regulation.</w:t>
      </w:r>
    </w:p>
    <w:p w:rsidR="00000000" w:rsidDel="00000000" w:rsidP="00000000" w:rsidRDefault="00000000" w:rsidRPr="00000000" w14:paraId="0000007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Measuring impact requires distinguishing agency-based empowerment from ownership-based economic restructuring.</w:t>
      </w:r>
    </w:p>
    <w:p w:rsidR="00000000" w:rsidDel="00000000" w:rsidP="00000000" w:rsidRDefault="00000000" w:rsidRPr="00000000" w14:paraId="00000073">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74">
      <w:pPr>
        <w:pStyle w:val="Heading2"/>
        <w:rPr>
          <w:rFonts w:ascii="Century Gothic" w:cs="Century Gothic" w:eastAsia="Century Gothic" w:hAnsi="Century Gothic"/>
        </w:rPr>
      </w:pPr>
      <w:bookmarkStart w:colFirst="0" w:colLast="0" w:name="_heading=h.rwjwoz1ha7hh" w:id="4"/>
      <w:bookmarkEnd w:id="4"/>
      <w:r w:rsidDel="00000000" w:rsidR="00000000" w:rsidRPr="00000000">
        <w:rPr>
          <w:rFonts w:ascii="Century Gothic" w:cs="Century Gothic" w:eastAsia="Century Gothic" w:hAnsi="Century Gothic"/>
          <w:rtl w:val="0"/>
        </w:rPr>
        <w:t xml:space="preserve">2.2 Comparative Analytical Framework between “community-led enterprise” and “community-own enterprise”.</w:t>
      </w:r>
    </w:p>
    <w:p w:rsidR="00000000" w:rsidDel="00000000" w:rsidP="00000000" w:rsidRDefault="00000000" w:rsidRPr="00000000" w14:paraId="00000075">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 comparative analysis can be summarized as follows:</w:t>
      </w:r>
    </w:p>
    <w:tbl>
      <w:tblPr>
        <w:tblStyle w:val="Table1"/>
        <w:tblW w:w="9350.0" w:type="dxa"/>
        <w:jc w:val="left"/>
        <w:tblLayout w:type="fixed"/>
        <w:tblLook w:val="0400"/>
      </w:tblPr>
      <w:tblGrid>
        <w:gridCol w:w="3374"/>
        <w:gridCol w:w="2946"/>
        <w:gridCol w:w="3030"/>
        <w:tblGridChange w:id="0">
          <w:tblGrid>
            <w:gridCol w:w="3374"/>
            <w:gridCol w:w="2946"/>
            <w:gridCol w:w="3030"/>
          </w:tblGrid>
        </w:tblGridChange>
      </w:tblGrid>
      <w:tr>
        <w:trPr>
          <w:cantSplit w:val="0"/>
          <w:tblHeader w:val="1"/>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6">
            <w:pPr>
              <w:spacing w:line="240" w:lineRule="auto"/>
              <w:jc w:val="center"/>
              <w:rPr>
                <w:rFonts w:ascii="Century Gothic" w:cs="Century Gothic" w:eastAsia="Century Gothic" w:hAnsi="Century Gothic"/>
                <w:b w:val="1"/>
                <w:bCs w:val="1"/>
                <w:sz w:val="24"/>
                <w:szCs w:val="24"/>
              </w:rPr>
            </w:pPr>
            <w:r w:rsidDel="00000000" w:rsidR="00000000" w:rsidRPr="00000000">
              <w:rPr>
                <w:rFonts w:ascii="Century Gothic" w:cs="Century Gothic" w:eastAsia="Century Gothic" w:hAnsi="Century Gothic"/>
                <w:b w:val="1"/>
                <w:bCs w:val="1"/>
                <w:color w:val="000000"/>
                <w:rtl w:val="0"/>
              </w:rPr>
              <w:t xml:space="preserve">Dimension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7">
            <w:pPr>
              <w:spacing w:line="240" w:lineRule="auto"/>
              <w:jc w:val="center"/>
              <w:rPr>
                <w:rFonts w:ascii="Century Gothic" w:cs="Century Gothic" w:eastAsia="Century Gothic" w:hAnsi="Century Gothic"/>
                <w:b w:val="1"/>
                <w:bCs w:val="1"/>
                <w:sz w:val="24"/>
                <w:szCs w:val="24"/>
              </w:rPr>
            </w:pPr>
            <w:r w:rsidDel="00000000" w:rsidR="00000000" w:rsidRPr="00000000">
              <w:rPr>
                <w:rFonts w:ascii="Century Gothic" w:cs="Century Gothic" w:eastAsia="Century Gothic" w:hAnsi="Century Gothic"/>
                <w:b w:val="1"/>
                <w:bCs w:val="1"/>
                <w:color w:val="000000"/>
                <w:rtl w:val="0"/>
              </w:rPr>
              <w:t xml:space="preserve">Community-Led Enterprise (CLE)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8">
            <w:pPr>
              <w:spacing w:line="240" w:lineRule="auto"/>
              <w:jc w:val="center"/>
              <w:rPr>
                <w:rFonts w:ascii="Century Gothic" w:cs="Century Gothic" w:eastAsia="Century Gothic" w:hAnsi="Century Gothic"/>
                <w:b w:val="1"/>
                <w:bCs w:val="1"/>
                <w:sz w:val="24"/>
                <w:szCs w:val="24"/>
              </w:rPr>
            </w:pPr>
            <w:r w:rsidDel="00000000" w:rsidR="00000000" w:rsidRPr="00000000">
              <w:rPr>
                <w:rFonts w:ascii="Century Gothic" w:cs="Century Gothic" w:eastAsia="Century Gothic" w:hAnsi="Century Gothic"/>
                <w:b w:val="1"/>
                <w:bCs w:val="1"/>
                <w:color w:val="000000"/>
                <w:rtl w:val="0"/>
              </w:rPr>
              <w:t xml:space="preserve">Community-Owned Enterprise (COE)</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9">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Defining Principle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A">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Local initiative and leadership</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B">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Collective ownership of assets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C">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Primary Emphasis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D">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Process and agency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E">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Property rights and asset control</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F">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Governance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0">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Participatory (informal or hybrid)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1">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Formal democratic structures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2">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Legal Form</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3">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Flexible (NGO, SME, hybrid)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4">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Cooperative, mutual</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5">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Asset Lock</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6">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Not guaranteed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7">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Frequently embedded</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8">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Wealth Retention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9">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Context-dependent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A">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Structurally embedded</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B">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Strategic Flexibility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C">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High</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D">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Moderate (due to formal structures)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E">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Long-term Economic Power Redistribution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F">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Limited unless ownership transferred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90">
            <w:pPr>
              <w:spacing w:lin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rtl w:val="0"/>
              </w:rPr>
              <w:t xml:space="preserve">Strong potential</w:t>
            </w:r>
            <w:r w:rsidDel="00000000" w:rsidR="00000000" w:rsidRPr="00000000">
              <w:rPr>
                <w:rtl w:val="0"/>
              </w:rPr>
            </w:r>
          </w:p>
        </w:tc>
      </w:tr>
    </w:tbl>
    <w:p w:rsidR="00000000" w:rsidDel="00000000" w:rsidP="00000000" w:rsidRDefault="00000000" w:rsidRPr="00000000" w14:paraId="00000091">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Source: Own elaboration</w:t>
      </w:r>
    </w:p>
    <w:p w:rsidR="00000000" w:rsidDel="00000000" w:rsidP="00000000" w:rsidRDefault="00000000" w:rsidRPr="00000000" w14:paraId="00000092">
      <w:pPr>
        <w:rPr>
          <w:rFonts w:ascii="Century Gothic" w:cs="Century Gothic" w:eastAsia="Century Gothic" w:hAnsi="Century Gothic"/>
        </w:rPr>
      </w:pPr>
      <w:r w:rsidDel="00000000" w:rsidR="00000000" w:rsidRPr="00000000">
        <w:br w:type="page"/>
      </w:r>
      <w:r w:rsidDel="00000000" w:rsidR="00000000" w:rsidRPr="00000000">
        <w:rPr>
          <w:rtl w:val="0"/>
        </w:rPr>
      </w:r>
    </w:p>
    <w:p w:rsidR="00000000" w:rsidDel="00000000" w:rsidP="00000000" w:rsidRDefault="00000000" w:rsidRPr="00000000" w14:paraId="00000093">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94">
      <w:pPr>
        <w:pStyle w:val="Heading2"/>
        <w:rPr>
          <w:rFonts w:ascii="Century Gothic" w:cs="Century Gothic" w:eastAsia="Century Gothic" w:hAnsi="Century Gothic"/>
          <w:b w:val="1"/>
          <w:bCs w:val="1"/>
        </w:rPr>
      </w:pPr>
      <w:bookmarkStart w:colFirst="0" w:colLast="0" w:name="_heading=h.l66dc8tul87i" w:id="5"/>
      <w:bookmarkEnd w:id="5"/>
      <w:r w:rsidDel="00000000" w:rsidR="00000000" w:rsidRPr="00000000">
        <w:rPr>
          <w:rFonts w:ascii="Century Gothic" w:cs="Century Gothic" w:eastAsia="Century Gothic" w:hAnsi="Century Gothic"/>
          <w:b w:val="1"/>
          <w:bCs w:val="1"/>
          <w:rtl w:val="0"/>
        </w:rPr>
        <w:t xml:space="preserve">3.- Community Enterprise (CEs), the SDGs, and EU Cohesion Policy</w:t>
      </w:r>
    </w:p>
    <w:p w:rsidR="00000000" w:rsidDel="00000000" w:rsidP="00000000" w:rsidRDefault="00000000" w:rsidRPr="00000000" w14:paraId="00000095">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Community enterprises (CEs) and grassroots community-led initiatives (CLIs) are recognized by the research community as vital, holistic instruments for the 2030 Agenda. Unlike traditional top-down development models, these enterprises are deeply embedded in local contexts and driven by member participation, allowing them to effectively address a broad spectrum of Sustainable Development Goals (SDGs). They range from clean energy access to improved health outcomes. They foster collaborative resource management and reduce carbon footprints through localized action, CEs demonstrate that socially responsible and sustainable practices are not only viable but essential for strengthening regional economies (Esteves et al., 2021).</w:t>
      </w:r>
    </w:p>
    <w:p w:rsidR="00000000" w:rsidDel="00000000" w:rsidP="00000000" w:rsidRDefault="00000000" w:rsidRPr="00000000" w14:paraId="00000096">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These initiatives have a role as proactive agents of change rather than passive recipients of external aid. They prioritize inclusivity and empowerment. CEs offer a compelling alternative to conventional governance, challenging the effectiveness of centralized authority in favor of community-driven sustainability. These organizations co-create sustainable futures in direct partnership with local governments. They apply innovative methods that redefine the role of civil society. Their ability to leverage local contradictions and conflicts as catalysts for innovation highlights a sophisticated level of adaptability often missing in rigid institutional frameworks.</w:t>
      </w:r>
    </w:p>
    <w:p w:rsidR="00000000" w:rsidDel="00000000" w:rsidP="00000000" w:rsidRDefault="00000000" w:rsidRPr="00000000" w14:paraId="00000097">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decentralized structure of community enterprises enables a unique "action learning" approach, where experimentation and experiential learning drive rapid responses to shifting circumstances. Through the development of trans-local networks, these initiatives facilitate the dissemination of knowledge across diverse geographical contexts without falling into the traps of market commodification or state bureaucratization (Avelino et al., 2019). These networks allow localized successes to be scaled and transformed into broader sustainability guidelines, ensuring that context-specific solutions can be replicated and adapted globally to meet the urgent demands of climate change and social inequality.</w:t>
      </w:r>
    </w:p>
    <w:p w:rsidR="00000000" w:rsidDel="00000000" w:rsidP="00000000" w:rsidRDefault="00000000" w:rsidRPr="00000000" w14:paraId="00000098">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Furthermore, CEs challenge the fundamental economic assumptions underlying many global agendas, particularly the relentless pursuit of GDP growth. By championing post-growth philosophies, these communities prioritize human welfare, social justice, and environmental health as interdependent objectives. This holistic perspective allows for systemic change at both local and regional levels, harmonizing various SDGs through action-oriented problem-solving. Research suggests that with continued institutional reform and support, the adaptability of CEs can further inspire a reconceptualization of the SDGs as dynamic, collaborative pathways toward a more just and sustainable global society (Henfrey et al., 2022; Tiwari, 2023).</w:t>
      </w:r>
    </w:p>
    <w:p w:rsidR="00000000" w:rsidDel="00000000" w:rsidP="00000000" w:rsidRDefault="00000000" w:rsidRPr="00000000" w14:paraId="00000099">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Finally, the emergence of "commons ecologies" within the social solidarity economy (SSE) provides a framework for restructuring relationships among economic actors. By focusing on cooperative networks and autonomy from purely market-driven systems, community-led initiatives build significant resilience against global volatility. Specific models, such as permaculture enterprises and commons-based businesses, integrate ecological design with sustainable livelihoods, directly advancing goals related to food security and equitable resource distribution. Ultimately, the success of these initiatives underscores the necessity of a more democratic and participatory approach to SDG implementation worldwide.</w:t>
      </w:r>
    </w:p>
    <w:p w:rsidR="00000000" w:rsidDel="00000000" w:rsidP="00000000" w:rsidRDefault="00000000" w:rsidRPr="00000000" w14:paraId="0000009A">
      <w:pPr>
        <w:jc w:val="both"/>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9B">
      <w:pPr>
        <w:pStyle w:val="Heading2"/>
        <w:rPr>
          <w:rFonts w:ascii="Century Gothic" w:cs="Century Gothic" w:eastAsia="Century Gothic" w:hAnsi="Century Gothic"/>
        </w:rPr>
      </w:pPr>
      <w:bookmarkStart w:colFirst="0" w:colLast="0" w:name="_heading=h.o4wwohuceem" w:id="6"/>
      <w:bookmarkEnd w:id="6"/>
      <w:r w:rsidDel="00000000" w:rsidR="00000000" w:rsidRPr="00000000">
        <w:rPr>
          <w:rFonts w:ascii="Century Gothic" w:cs="Century Gothic" w:eastAsia="Century Gothic" w:hAnsi="Century Gothic"/>
          <w:rtl w:val="0"/>
        </w:rPr>
        <w:t xml:space="preserve">3.1 Alignment with the Sustainable Development Goals (SDGs)</w:t>
      </w:r>
    </w:p>
    <w:p w:rsidR="00000000" w:rsidDel="00000000" w:rsidP="00000000" w:rsidRDefault="00000000" w:rsidRPr="00000000" w14:paraId="0000009C">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Community-led and community-owned enterprises contribute directly to the 2030 Agenda for Sustainable Development (United Nations, 2015). However, they do so through distinct mechanisms reflecting their structural differences.</w:t>
      </w:r>
    </w:p>
    <w:p w:rsidR="00000000" w:rsidDel="00000000" w:rsidP="00000000" w:rsidRDefault="00000000" w:rsidRPr="00000000" w14:paraId="0000009D">
      <w:pPr>
        <w:jc w:val="both"/>
        <w:rPr>
          <w:rFonts w:ascii="Century Gothic" w:cs="Century Gothic" w:eastAsia="Century Gothic" w:hAnsi="Century Gothic"/>
          <w:b w:val="1"/>
          <w:bCs w:val="1"/>
          <w:sz w:val="24"/>
          <w:szCs w:val="24"/>
        </w:rPr>
      </w:pPr>
      <w:r w:rsidDel="00000000" w:rsidR="00000000" w:rsidRPr="00000000">
        <w:rPr>
          <w:rFonts w:ascii="Century Gothic" w:cs="Century Gothic" w:eastAsia="Century Gothic" w:hAnsi="Century Gothic"/>
          <w:b w:val="1"/>
          <w:bCs w:val="1"/>
          <w:sz w:val="24"/>
          <w:szCs w:val="24"/>
          <w:rtl w:val="0"/>
        </w:rPr>
        <w:t xml:space="preserve">SDG 7 – Affordable and Clean Energy</w:t>
      </w:r>
    </w:p>
    <w:p w:rsidR="00000000" w:rsidDel="00000000" w:rsidP="00000000" w:rsidRDefault="00000000" w:rsidRPr="00000000" w14:paraId="0000009E">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European community energy cooperatives demonstrate alignment with Target 7.2 (increase renewable energy share).</w:t>
      </w:r>
    </w:p>
    <w:p w:rsidR="00000000" w:rsidDel="00000000" w:rsidP="00000000" w:rsidRDefault="00000000" w:rsidRPr="00000000" w14:paraId="0000009F">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Here, ownership matters significantly: community ownership ensures long-term control over infrastructure, pricing, and reinvestment strategies.</w:t>
      </w:r>
    </w:p>
    <w:p w:rsidR="00000000" w:rsidDel="00000000" w:rsidP="00000000" w:rsidRDefault="00000000" w:rsidRPr="00000000" w14:paraId="000000A0">
      <w:pPr>
        <w:jc w:val="both"/>
        <w:rPr>
          <w:rFonts w:ascii="Century Gothic" w:cs="Century Gothic" w:eastAsia="Century Gothic" w:hAnsi="Century Gothic"/>
          <w:b w:val="1"/>
          <w:bCs w:val="1"/>
          <w:sz w:val="24"/>
          <w:szCs w:val="24"/>
        </w:rPr>
      </w:pPr>
      <w:r w:rsidDel="00000000" w:rsidR="00000000" w:rsidRPr="00000000">
        <w:rPr>
          <w:rFonts w:ascii="Century Gothic" w:cs="Century Gothic" w:eastAsia="Century Gothic" w:hAnsi="Century Gothic"/>
          <w:b w:val="1"/>
          <w:bCs w:val="1"/>
          <w:sz w:val="24"/>
          <w:szCs w:val="24"/>
          <w:rtl w:val="0"/>
        </w:rPr>
        <w:t xml:space="preserve">SDG 8 – Decent Work and Economic Growth</w:t>
      </w:r>
    </w:p>
    <w:p w:rsidR="00000000" w:rsidDel="00000000" w:rsidP="00000000" w:rsidRDefault="00000000" w:rsidRPr="00000000" w14:paraId="000000A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Both CLE and COE models contribute to:</w:t>
      </w:r>
    </w:p>
    <w:p w:rsidR="00000000" w:rsidDel="00000000" w:rsidP="00000000" w:rsidRDefault="00000000" w:rsidRPr="00000000" w14:paraId="000000A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Local job creation</w:t>
      </w:r>
    </w:p>
    <w:p w:rsidR="00000000" w:rsidDel="00000000" w:rsidP="00000000" w:rsidRDefault="00000000" w:rsidRPr="00000000" w14:paraId="000000A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Inclusive entrepreneurship</w:t>
      </w:r>
    </w:p>
    <w:p w:rsidR="00000000" w:rsidDel="00000000" w:rsidP="00000000" w:rsidRDefault="00000000" w:rsidRPr="00000000" w14:paraId="000000A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Territorial economic resilience</w:t>
      </w:r>
    </w:p>
    <w:p w:rsidR="00000000" w:rsidDel="00000000" w:rsidP="00000000" w:rsidRDefault="00000000" w:rsidRPr="00000000" w14:paraId="000000A5">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Community-owned enterprises particularly reinforce Target 8.3, which promotes “development-oriented policies that support productive activities, decent job creation, entrepreneurship, creativity and innovation.” By embedding ownership locally, COEs prevent capital leakage and foster long-term community wealth retention.</w:t>
      </w:r>
    </w:p>
    <w:p w:rsidR="00000000" w:rsidDel="00000000" w:rsidP="00000000" w:rsidRDefault="00000000" w:rsidRPr="00000000" w14:paraId="000000A6">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Community-led enterprises contribute through entrepreneurial mobilization, often acting as incubators for employment initiatives in disadvantaged areas.</w:t>
      </w:r>
    </w:p>
    <w:p w:rsidR="00000000" w:rsidDel="00000000" w:rsidP="00000000" w:rsidRDefault="00000000" w:rsidRPr="00000000" w14:paraId="000000A7">
      <w:pPr>
        <w:jc w:val="both"/>
        <w:rPr>
          <w:rFonts w:ascii="Century Gothic" w:cs="Century Gothic" w:eastAsia="Century Gothic" w:hAnsi="Century Gothic"/>
          <w:b w:val="1"/>
          <w:bCs w:val="1"/>
          <w:sz w:val="24"/>
          <w:szCs w:val="24"/>
        </w:rPr>
      </w:pPr>
      <w:r w:rsidDel="00000000" w:rsidR="00000000" w:rsidRPr="00000000">
        <w:rPr>
          <w:rFonts w:ascii="Century Gothic" w:cs="Century Gothic" w:eastAsia="Century Gothic" w:hAnsi="Century Gothic"/>
          <w:b w:val="1"/>
          <w:bCs w:val="1"/>
          <w:sz w:val="24"/>
          <w:szCs w:val="24"/>
          <w:rtl w:val="0"/>
        </w:rPr>
        <w:t xml:space="preserve">SDG 10 – Reduced Inequalities</w:t>
      </w:r>
    </w:p>
    <w:p w:rsidR="00000000" w:rsidDel="00000000" w:rsidP="00000000" w:rsidRDefault="00000000" w:rsidRPr="00000000" w14:paraId="000000A8">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COEs structurally redistribute economic power through collective ownership, directly contributing to Target 10.2 (empower and promote social, economic, and political inclusion).</w:t>
      </w:r>
    </w:p>
    <w:p w:rsidR="00000000" w:rsidDel="00000000" w:rsidP="00000000" w:rsidRDefault="00000000" w:rsidRPr="00000000" w14:paraId="000000A9">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Italian social cooperatives integrating vulnerable workers and UK community land trusts preventing housing exclusion exemplify this mechanism.</w:t>
      </w:r>
    </w:p>
    <w:p w:rsidR="00000000" w:rsidDel="00000000" w:rsidP="00000000" w:rsidRDefault="00000000" w:rsidRPr="00000000" w14:paraId="000000AA">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CLEs, while promoting participatory inclusion, may not guarantee redistribution unless ownership is collectivized.</w:t>
      </w:r>
    </w:p>
    <w:p w:rsidR="00000000" w:rsidDel="00000000" w:rsidP="00000000" w:rsidRDefault="00000000" w:rsidRPr="00000000" w14:paraId="000000AB">
      <w:pPr>
        <w:jc w:val="both"/>
        <w:rPr>
          <w:rFonts w:ascii="Century Gothic" w:cs="Century Gothic" w:eastAsia="Century Gothic" w:hAnsi="Century Gothic"/>
          <w:b w:val="1"/>
          <w:bCs w:val="1"/>
          <w:sz w:val="24"/>
          <w:szCs w:val="24"/>
        </w:rPr>
      </w:pPr>
      <w:r w:rsidDel="00000000" w:rsidR="00000000" w:rsidRPr="00000000">
        <w:rPr>
          <w:rFonts w:ascii="Century Gothic" w:cs="Century Gothic" w:eastAsia="Century Gothic" w:hAnsi="Century Gothic"/>
          <w:b w:val="1"/>
          <w:bCs w:val="1"/>
          <w:sz w:val="24"/>
          <w:szCs w:val="24"/>
          <w:rtl w:val="0"/>
        </w:rPr>
        <w:t xml:space="preserve">SDG 11 – Sustainable Cities and Communities</w:t>
      </w:r>
    </w:p>
    <w:p w:rsidR="00000000" w:rsidDel="00000000" w:rsidP="00000000" w:rsidRDefault="00000000" w:rsidRPr="00000000" w14:paraId="000000AC">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Community land trusts, renewable energy cooperatives, and local service cooperatives directly support Target 11.3 (inclusive and sustainable urbanization) and Target 11.a (positive economic, social and environmental links between urban, peri-urban and rural areas).</w:t>
      </w:r>
    </w:p>
    <w:p w:rsidR="00000000" w:rsidDel="00000000" w:rsidP="00000000" w:rsidRDefault="00000000" w:rsidRPr="00000000" w14:paraId="000000AD">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COEs provide structural tools for sustainable territorial governance, particularly in rural depopulated areas.</w:t>
      </w:r>
    </w:p>
    <w:p w:rsidR="00000000" w:rsidDel="00000000" w:rsidP="00000000" w:rsidRDefault="00000000" w:rsidRPr="00000000" w14:paraId="000000AE">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CLEs support adaptive local innovation, strengthening community cohesion and participatory planning.</w:t>
      </w:r>
    </w:p>
    <w:p w:rsidR="00000000" w:rsidDel="00000000" w:rsidP="00000000" w:rsidRDefault="00000000" w:rsidRPr="00000000" w14:paraId="000000AF">
      <w:pPr>
        <w:jc w:val="both"/>
        <w:rPr>
          <w:rFonts w:ascii="Century Gothic" w:cs="Century Gothic" w:eastAsia="Century Gothic" w:hAnsi="Century Gothic"/>
          <w:b w:val="1"/>
          <w:bCs w:val="1"/>
          <w:sz w:val="24"/>
          <w:szCs w:val="24"/>
        </w:rPr>
      </w:pPr>
      <w:r w:rsidDel="00000000" w:rsidR="00000000" w:rsidRPr="00000000">
        <w:rPr>
          <w:rFonts w:ascii="Century Gothic" w:cs="Century Gothic" w:eastAsia="Century Gothic" w:hAnsi="Century Gothic"/>
          <w:b w:val="1"/>
          <w:bCs w:val="1"/>
          <w:sz w:val="24"/>
          <w:szCs w:val="24"/>
          <w:rtl w:val="0"/>
        </w:rPr>
        <w:t xml:space="preserve">SDG 16 – Peace, Justice and Strong Institutions</w:t>
      </w:r>
    </w:p>
    <w:p w:rsidR="00000000" w:rsidDel="00000000" w:rsidP="00000000" w:rsidRDefault="00000000" w:rsidRPr="00000000" w14:paraId="000000B0">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CLE contributes strongly to participatory governance (Target 16.7), enhancing inclusive decision-making.</w:t>
      </w:r>
    </w:p>
    <w:p w:rsidR="00000000" w:rsidDel="00000000" w:rsidP="00000000" w:rsidRDefault="00000000" w:rsidRPr="00000000" w14:paraId="000000B1">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COE reinforces institutionalized democratic governance via cooperative legal structures.</w:t>
      </w:r>
    </w:p>
    <w:p w:rsidR="00000000" w:rsidDel="00000000" w:rsidP="00000000" w:rsidRDefault="00000000" w:rsidRPr="00000000" w14:paraId="000000B2">
      <w:pPr>
        <w:jc w:val="both"/>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B3">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Illustrative examples of CLIs' contributions to achieving the Sustainable Development Goals (SDGs) (Henfrey et al., 2022)</w:t>
      </w:r>
    </w:p>
    <w:tbl>
      <w:tblPr>
        <w:tblStyle w:val="Table2"/>
        <w:tblW w:w="93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38"/>
        <w:gridCol w:w="7512"/>
        <w:tblGridChange w:id="0">
          <w:tblGrid>
            <w:gridCol w:w="1838"/>
            <w:gridCol w:w="7512"/>
          </w:tblGrid>
        </w:tblGridChange>
      </w:tblGrid>
      <w:tr>
        <w:trPr>
          <w:cantSplit w:val="0"/>
          <w:tblHeader w:val="0"/>
        </w:trPr>
        <w:tc>
          <w:tcPr/>
          <w:p w:rsidR="00000000" w:rsidDel="00000000" w:rsidP="00000000" w:rsidRDefault="00000000" w:rsidRPr="00000000" w14:paraId="000000B4">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b w:val="1"/>
                <w:bCs w:val="1"/>
                <w:color w:val="000000"/>
                <w:sz w:val="24"/>
                <w:szCs w:val="24"/>
                <w:rtl w:val="0"/>
              </w:rPr>
              <w:t xml:space="preserve">UN SDGs</w:t>
            </w:r>
            <w:r w:rsidDel="00000000" w:rsidR="00000000" w:rsidRPr="00000000">
              <w:rPr>
                <w:rtl w:val="0"/>
              </w:rPr>
            </w:r>
          </w:p>
        </w:tc>
        <w:tc>
          <w:tcPr/>
          <w:p w:rsidR="00000000" w:rsidDel="00000000" w:rsidP="00000000" w:rsidRDefault="00000000" w:rsidRPr="00000000" w14:paraId="000000B5">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b w:val="1"/>
                <w:bCs w:val="1"/>
                <w:color w:val="000000"/>
                <w:sz w:val="24"/>
                <w:szCs w:val="24"/>
                <w:rtl w:val="0"/>
              </w:rPr>
              <w:t xml:space="preserve">Indicative examples of approaches taken by community initiatives</w:t>
            </w:r>
            <w:r w:rsidDel="00000000" w:rsidR="00000000" w:rsidRPr="00000000">
              <w:rPr>
                <w:rtl w:val="0"/>
              </w:rPr>
            </w:r>
          </w:p>
        </w:tc>
      </w:tr>
      <w:tr>
        <w:trPr>
          <w:cantSplit w:val="0"/>
          <w:tblHeader w:val="0"/>
        </w:trPr>
        <w:tc>
          <w:tcPr/>
          <w:p w:rsidR="00000000" w:rsidDel="00000000" w:rsidP="00000000" w:rsidRDefault="00000000" w:rsidRPr="00000000" w14:paraId="000000B6">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SDG1—No poverty</w:t>
            </w:r>
            <w:r w:rsidDel="00000000" w:rsidR="00000000" w:rsidRPr="00000000">
              <w:rPr>
                <w:rtl w:val="0"/>
              </w:rPr>
            </w:r>
          </w:p>
        </w:tc>
        <w:tc>
          <w:tcPr/>
          <w:p w:rsidR="00000000" w:rsidDel="00000000" w:rsidP="00000000" w:rsidRDefault="00000000" w:rsidRPr="00000000" w14:paraId="000000B7">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CLIs use diverse strategies and methods to support individual and collective well-being, often in ways that are organised along non-market logics and require lower levels of material affluence. This not only directly addresses, and mitigates, experienced poverty, it also invites a reframing and reappraisal of poverty as commonly defined as a direct function of material scarcity (Vita et al., </w:t>
            </w:r>
            <w:hyperlink r:id="rId14">
              <w:r w:rsidDel="00000000" w:rsidR="00000000" w:rsidRPr="00000000">
                <w:rPr>
                  <w:rFonts w:ascii="Century Gothic" w:cs="Century Gothic" w:eastAsia="Century Gothic" w:hAnsi="Century Gothic"/>
                  <w:color w:val="0563c1"/>
                  <w:sz w:val="24"/>
                  <w:szCs w:val="24"/>
                  <w:u w:val="single"/>
                  <w:rtl w:val="0"/>
                </w:rPr>
                <w:t xml:space="preserve">2020</w:t>
              </w:r>
            </w:hyperlink>
            <w:r w:rsidDel="00000000" w:rsidR="00000000" w:rsidRPr="00000000">
              <w:rPr>
                <w:rFonts w:ascii="Century Gothic" w:cs="Century Gothic" w:eastAsia="Century Gothic" w:hAnsi="Century Gothic"/>
                <w:color w:val="000000"/>
                <w:sz w:val="24"/>
                <w:szCs w:val="24"/>
                <w:rtl w:val="0"/>
              </w:rPr>
              <w:t xml:space="preserve">). Many CLIs have created new alternative or complementary currencies to help improve and diversify creation, distribution and circulation of wealth and increase alignment with requirements for sustainability. For example, 31% of the studies of alternative or complementary currencies reviewed by Michel and Hudon (</w:t>
            </w:r>
            <w:hyperlink r:id="rId15">
              <w:r w:rsidDel="00000000" w:rsidR="00000000" w:rsidRPr="00000000">
                <w:rPr>
                  <w:rFonts w:ascii="Century Gothic" w:cs="Century Gothic" w:eastAsia="Century Gothic" w:hAnsi="Century Gothic"/>
                  <w:color w:val="0563c1"/>
                  <w:sz w:val="24"/>
                  <w:szCs w:val="24"/>
                  <w:u w:val="single"/>
                  <w:rtl w:val="0"/>
                </w:rPr>
                <w:t xml:space="preserve">2015</w:t>
              </w:r>
            </w:hyperlink>
            <w:r w:rsidDel="00000000" w:rsidR="00000000" w:rsidRPr="00000000">
              <w:rPr>
                <w:rFonts w:ascii="Century Gothic" w:cs="Century Gothic" w:eastAsia="Century Gothic" w:hAnsi="Century Gothic"/>
                <w:color w:val="000000"/>
                <w:sz w:val="24"/>
                <w:szCs w:val="24"/>
                <w:rtl w:val="0"/>
              </w:rPr>
              <w:t xml:space="preserve">) reported that such currencies contribute to tackling social exclusion and 23% helped improve quality of life in terms of well-being. Michel and Hudon (</w:t>
            </w:r>
            <w:hyperlink r:id="rId16">
              <w:r w:rsidDel="00000000" w:rsidR="00000000" w:rsidRPr="00000000">
                <w:rPr>
                  <w:rFonts w:ascii="Century Gothic" w:cs="Century Gothic" w:eastAsia="Century Gothic" w:hAnsi="Century Gothic"/>
                  <w:color w:val="0563c1"/>
                  <w:sz w:val="24"/>
                  <w:szCs w:val="24"/>
                  <w:u w:val="single"/>
                  <w:rtl w:val="0"/>
                </w:rPr>
                <w:t xml:space="preserve">2015</w:t>
              </w:r>
            </w:hyperlink>
            <w:r w:rsidDel="00000000" w:rsidR="00000000" w:rsidRPr="00000000">
              <w:rPr>
                <w:rFonts w:ascii="Century Gothic" w:cs="Century Gothic" w:eastAsia="Century Gothic" w:hAnsi="Century Gothic"/>
                <w:color w:val="000000"/>
                <w:sz w:val="24"/>
                <w:szCs w:val="24"/>
                <w:rtl w:val="0"/>
              </w:rPr>
              <w:t xml:space="preserve">) also found that 24% of the studies had identified income increases and improvement of living standards as economic impacts of these currencies, while 29% reported that members of alternative or complementary currencies gained access to otherwise unaffordable goods and services</w:t>
            </w:r>
            <w:r w:rsidDel="00000000" w:rsidR="00000000" w:rsidRPr="00000000">
              <w:rPr>
                <w:rtl w:val="0"/>
              </w:rPr>
            </w:r>
          </w:p>
        </w:tc>
      </w:tr>
      <w:tr>
        <w:trPr>
          <w:cantSplit w:val="0"/>
          <w:tblHeader w:val="0"/>
        </w:trPr>
        <w:tc>
          <w:tcPr/>
          <w:p w:rsidR="00000000" w:rsidDel="00000000" w:rsidP="00000000" w:rsidRDefault="00000000" w:rsidRPr="00000000" w14:paraId="000000B8">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SDG2—Zero hunger</w:t>
            </w:r>
            <w:r w:rsidDel="00000000" w:rsidR="00000000" w:rsidRPr="00000000">
              <w:rPr>
                <w:rtl w:val="0"/>
              </w:rPr>
            </w:r>
          </w:p>
        </w:tc>
        <w:tc>
          <w:tcPr/>
          <w:p w:rsidR="00000000" w:rsidDel="00000000" w:rsidP="00000000" w:rsidRDefault="00000000" w:rsidRPr="00000000" w14:paraId="000000B9">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Many CLIs employ organic, regenerative and agroecological forms of food production and local/regional provision, including linking producers and consumers of food through mechanisms such as solidarity purchasing, community-supported agriculture and farmers' markets. Sustainable and equitable provision of food is thus brought into synergy with creation of environmental, economic, social and cultural benefits (Cristiano, </w:t>
            </w:r>
            <w:hyperlink r:id="rId17">
              <w:r w:rsidDel="00000000" w:rsidR="00000000" w:rsidRPr="00000000">
                <w:rPr>
                  <w:rFonts w:ascii="Century Gothic" w:cs="Century Gothic" w:eastAsia="Century Gothic" w:hAnsi="Century Gothic"/>
                  <w:color w:val="0563c1"/>
                  <w:sz w:val="24"/>
                  <w:szCs w:val="24"/>
                  <w:u w:val="single"/>
                  <w:rtl w:val="0"/>
                </w:rPr>
                <w:t xml:space="preserve">2021</w:t>
              </w:r>
            </w:hyperlink>
            <w:r w:rsidDel="00000000" w:rsidR="00000000" w:rsidRPr="00000000">
              <w:rPr>
                <w:rFonts w:ascii="Century Gothic" w:cs="Century Gothic" w:eastAsia="Century Gothic" w:hAnsi="Century Gothic"/>
                <w:color w:val="000000"/>
                <w:sz w:val="24"/>
                <w:szCs w:val="24"/>
                <w:rtl w:val="0"/>
              </w:rPr>
              <w:t xml:space="preserve">). Quantitative assessments of short food supply chains, including Community Supported Agriculture, Urban Gardens, and Farmer Markets, show that these CLIs outperform conventional food retail and long food supply chains for most environmental and social assessment criteria (Doernberg et al., </w:t>
            </w:r>
            <w:hyperlink r:id="rId18">
              <w:r w:rsidDel="00000000" w:rsidR="00000000" w:rsidRPr="00000000">
                <w:rPr>
                  <w:rFonts w:ascii="Century Gothic" w:cs="Century Gothic" w:eastAsia="Century Gothic" w:hAnsi="Century Gothic"/>
                  <w:color w:val="0563c1"/>
                  <w:sz w:val="24"/>
                  <w:szCs w:val="24"/>
                  <w:u w:val="single"/>
                  <w:rtl w:val="0"/>
                </w:rPr>
                <w:t xml:space="preserve">2022</w:t>
              </w:r>
            </w:hyperlink>
            <w:r w:rsidDel="00000000" w:rsidR="00000000" w:rsidRPr="00000000">
              <w:rPr>
                <w:rFonts w:ascii="Century Gothic" w:cs="Century Gothic" w:eastAsia="Century Gothic" w:hAnsi="Century Gothic"/>
                <w:color w:val="000000"/>
                <w:sz w:val="24"/>
                <w:szCs w:val="24"/>
                <w:rtl w:val="0"/>
              </w:rPr>
              <w:t xml:space="preserve">)</w:t>
            </w:r>
            <w:r w:rsidDel="00000000" w:rsidR="00000000" w:rsidRPr="00000000">
              <w:rPr>
                <w:rtl w:val="0"/>
              </w:rPr>
            </w:r>
          </w:p>
        </w:tc>
      </w:tr>
      <w:tr>
        <w:trPr>
          <w:cantSplit w:val="0"/>
          <w:tblHeader w:val="0"/>
        </w:trPr>
        <w:tc>
          <w:tcPr/>
          <w:p w:rsidR="00000000" w:rsidDel="00000000" w:rsidP="00000000" w:rsidRDefault="00000000" w:rsidRPr="00000000" w14:paraId="000000BA">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SDG3—Good health and wellbeing</w:t>
            </w:r>
            <w:r w:rsidDel="00000000" w:rsidR="00000000" w:rsidRPr="00000000">
              <w:rPr>
                <w:rtl w:val="0"/>
              </w:rPr>
            </w:r>
          </w:p>
        </w:tc>
        <w:tc>
          <w:tcPr/>
          <w:p w:rsidR="00000000" w:rsidDel="00000000" w:rsidP="00000000" w:rsidRDefault="00000000" w:rsidRPr="00000000" w14:paraId="000000BB">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CLIs generally align with alternative economic philosophies and methodologies that prioritise health and well-being rather than economic indicators. Specific strategies include deliberately building social capital (and to lesser degrees, other forms of non-fiscal capital), and leveraging it to promote well-being through a range of social, spatial and material design strategies including a healthy work-life balance, inclusive and deeply democratic decision making, conflict resolution institutions, and self-development practices, among others (Hall, </w:t>
            </w:r>
            <w:hyperlink r:id="rId19">
              <w:r w:rsidDel="00000000" w:rsidR="00000000" w:rsidRPr="00000000">
                <w:rPr>
                  <w:rFonts w:ascii="Century Gothic" w:cs="Century Gothic" w:eastAsia="Century Gothic" w:hAnsi="Century Gothic"/>
                  <w:color w:val="0563c1"/>
                  <w:sz w:val="24"/>
                  <w:szCs w:val="24"/>
                  <w:u w:val="single"/>
                  <w:rtl w:val="0"/>
                </w:rPr>
                <w:t xml:space="preserve">2015</w:t>
              </w:r>
            </w:hyperlink>
            <w:r w:rsidDel="00000000" w:rsidR="00000000" w:rsidRPr="00000000">
              <w:rPr>
                <w:rFonts w:ascii="Century Gothic" w:cs="Century Gothic" w:eastAsia="Century Gothic" w:hAnsi="Century Gothic"/>
                <w:color w:val="000000"/>
                <w:sz w:val="24"/>
                <w:szCs w:val="24"/>
                <w:rtl w:val="0"/>
              </w:rPr>
              <w:t xml:space="preserve">)</w:t>
            </w:r>
            <w:r w:rsidDel="00000000" w:rsidR="00000000" w:rsidRPr="00000000">
              <w:rPr>
                <w:rtl w:val="0"/>
              </w:rPr>
            </w:r>
          </w:p>
        </w:tc>
      </w:tr>
      <w:tr>
        <w:trPr>
          <w:cantSplit w:val="0"/>
          <w:tblHeader w:val="0"/>
        </w:trPr>
        <w:tc>
          <w:tcPr/>
          <w:p w:rsidR="00000000" w:rsidDel="00000000" w:rsidP="00000000" w:rsidRDefault="00000000" w:rsidRPr="00000000" w14:paraId="000000BC">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SDG4—Quality education</w:t>
            </w:r>
            <w:r w:rsidDel="00000000" w:rsidR="00000000" w:rsidRPr="00000000">
              <w:rPr>
                <w:rtl w:val="0"/>
              </w:rPr>
            </w:r>
          </w:p>
        </w:tc>
        <w:tc>
          <w:tcPr/>
          <w:p w:rsidR="00000000" w:rsidDel="00000000" w:rsidP="00000000" w:rsidRDefault="00000000" w:rsidRPr="00000000" w14:paraId="000000BD">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Learning is central to CLIs, both their internal development as projects, initiatives and networks and their bridging with wider society (Henfrey, </w:t>
            </w:r>
            <w:hyperlink r:id="rId20">
              <w:r w:rsidDel="00000000" w:rsidR="00000000" w:rsidRPr="00000000">
                <w:rPr>
                  <w:rFonts w:ascii="Century Gothic" w:cs="Century Gothic" w:eastAsia="Century Gothic" w:hAnsi="Century Gothic"/>
                  <w:color w:val="0563c1"/>
                  <w:sz w:val="24"/>
                  <w:szCs w:val="24"/>
                  <w:u w:val="single"/>
                  <w:rtl w:val="0"/>
                </w:rPr>
                <w:t xml:space="preserve">2017</w:t>
              </w:r>
            </w:hyperlink>
            <w:r w:rsidDel="00000000" w:rsidR="00000000" w:rsidRPr="00000000">
              <w:rPr>
                <w:rFonts w:ascii="Century Gothic" w:cs="Century Gothic" w:eastAsia="Century Gothic" w:hAnsi="Century Gothic"/>
                <w:color w:val="000000"/>
                <w:sz w:val="24"/>
                <w:szCs w:val="24"/>
                <w:rtl w:val="0"/>
              </w:rPr>
              <w:t xml:space="preserve">). Many operate their own learning programmes, and actively cultivate learning collaborations with wider society through communities of practice and other forms of learning partnership (Ulbrich &amp; Pahl-Wostl, </w:t>
            </w:r>
            <w:hyperlink r:id="rId21">
              <w:r w:rsidDel="00000000" w:rsidR="00000000" w:rsidRPr="00000000">
                <w:rPr>
                  <w:rFonts w:ascii="Century Gothic" w:cs="Century Gothic" w:eastAsia="Century Gothic" w:hAnsi="Century Gothic"/>
                  <w:color w:val="0563c1"/>
                  <w:sz w:val="24"/>
                  <w:szCs w:val="24"/>
                  <w:u w:val="single"/>
                  <w:rtl w:val="0"/>
                </w:rPr>
                <w:t xml:space="preserve">2019</w:t>
              </w:r>
            </w:hyperlink>
            <w:r w:rsidDel="00000000" w:rsidR="00000000" w:rsidRPr="00000000">
              <w:rPr>
                <w:rFonts w:ascii="Century Gothic" w:cs="Century Gothic" w:eastAsia="Century Gothic" w:hAnsi="Century Gothic"/>
                <w:color w:val="000000"/>
                <w:sz w:val="24"/>
                <w:szCs w:val="24"/>
                <w:rtl w:val="0"/>
              </w:rPr>
              <w:t xml:space="preserve"> for an example of learning partnerships involving the German Permaculture initiatives, and Macedo et al., </w:t>
            </w:r>
            <w:hyperlink r:id="rId22">
              <w:r w:rsidDel="00000000" w:rsidR="00000000" w:rsidRPr="00000000">
                <w:rPr>
                  <w:rFonts w:ascii="Century Gothic" w:cs="Century Gothic" w:eastAsia="Century Gothic" w:hAnsi="Century Gothic"/>
                  <w:color w:val="0563c1"/>
                  <w:sz w:val="24"/>
                  <w:szCs w:val="24"/>
                  <w:u w:val="single"/>
                  <w:rtl w:val="0"/>
                </w:rPr>
                <w:t xml:space="preserve">2020</w:t>
              </w:r>
            </w:hyperlink>
            <w:r w:rsidDel="00000000" w:rsidR="00000000" w:rsidRPr="00000000">
              <w:rPr>
                <w:rFonts w:ascii="Century Gothic" w:cs="Century Gothic" w:eastAsia="Century Gothic" w:hAnsi="Century Gothic"/>
                <w:color w:val="000000"/>
                <w:sz w:val="24"/>
                <w:szCs w:val="24"/>
                <w:rtl w:val="0"/>
              </w:rPr>
              <w:t xml:space="preserve"> for an example of such partnerships involving Transition Towns)</w:t>
            </w:r>
            <w:r w:rsidDel="00000000" w:rsidR="00000000" w:rsidRPr="00000000">
              <w:rPr>
                <w:rtl w:val="0"/>
              </w:rPr>
            </w:r>
          </w:p>
        </w:tc>
      </w:tr>
      <w:tr>
        <w:trPr>
          <w:cantSplit w:val="0"/>
          <w:tblHeader w:val="0"/>
        </w:trPr>
        <w:tc>
          <w:tcPr/>
          <w:p w:rsidR="00000000" w:rsidDel="00000000" w:rsidP="00000000" w:rsidRDefault="00000000" w:rsidRPr="00000000" w14:paraId="000000BE">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SDG5—Gender equality</w:t>
            </w:r>
            <w:r w:rsidDel="00000000" w:rsidR="00000000" w:rsidRPr="00000000">
              <w:rPr>
                <w:rtl w:val="0"/>
              </w:rPr>
            </w:r>
          </w:p>
        </w:tc>
        <w:tc>
          <w:tcPr/>
          <w:p w:rsidR="00000000" w:rsidDel="00000000" w:rsidP="00000000" w:rsidRDefault="00000000" w:rsidRPr="00000000" w14:paraId="000000BF">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The actual performance of CLIs is mixed, with high levels of women's representation and leadership in some areas combined with reproduction of more typical patterns and forms of gender imbalance in others (e.g., Celata &amp; Sanna, </w:t>
            </w:r>
            <w:hyperlink r:id="rId23">
              <w:r w:rsidDel="00000000" w:rsidR="00000000" w:rsidRPr="00000000">
                <w:rPr>
                  <w:rFonts w:ascii="Century Gothic" w:cs="Century Gothic" w:eastAsia="Century Gothic" w:hAnsi="Century Gothic"/>
                  <w:color w:val="0563c1"/>
                  <w:sz w:val="24"/>
                  <w:szCs w:val="24"/>
                  <w:u w:val="single"/>
                  <w:rtl w:val="0"/>
                </w:rPr>
                <w:t xml:space="preserve">2019</w:t>
              </w:r>
            </w:hyperlink>
            <w:r w:rsidDel="00000000" w:rsidR="00000000" w:rsidRPr="00000000">
              <w:rPr>
                <w:rFonts w:ascii="Century Gothic" w:cs="Century Gothic" w:eastAsia="Century Gothic" w:hAnsi="Century Gothic"/>
                <w:color w:val="000000"/>
                <w:sz w:val="24"/>
                <w:szCs w:val="24"/>
                <w:rtl w:val="0"/>
              </w:rPr>
              <w:t xml:space="preserve">; Ferguson &amp; Lovell, </w:t>
            </w:r>
            <w:hyperlink r:id="rId24">
              <w:r w:rsidDel="00000000" w:rsidR="00000000" w:rsidRPr="00000000">
                <w:rPr>
                  <w:rFonts w:ascii="Century Gothic" w:cs="Century Gothic" w:eastAsia="Century Gothic" w:hAnsi="Century Gothic"/>
                  <w:color w:val="0563c1"/>
                  <w:sz w:val="24"/>
                  <w:szCs w:val="24"/>
                  <w:u w:val="single"/>
                  <w:rtl w:val="0"/>
                </w:rPr>
                <w:t xml:space="preserve">2015</w:t>
              </w:r>
            </w:hyperlink>
            <w:r w:rsidDel="00000000" w:rsidR="00000000" w:rsidRPr="00000000">
              <w:rPr>
                <w:rFonts w:ascii="Century Gothic" w:cs="Century Gothic" w:eastAsia="Century Gothic" w:hAnsi="Century Gothic"/>
                <w:color w:val="000000"/>
                <w:sz w:val="24"/>
                <w:szCs w:val="24"/>
                <w:rtl w:val="0"/>
              </w:rPr>
              <w:t xml:space="preserve">). Many CLIs involve social experimentation and questioning of dominant cultural norms and narratives, with potential to go beyond numerical equality to progress towards genuinely gender-equitable and gender-inclusive societies (e.g., Hanaček et al., </w:t>
            </w:r>
            <w:hyperlink r:id="rId25">
              <w:r w:rsidDel="00000000" w:rsidR="00000000" w:rsidRPr="00000000">
                <w:rPr>
                  <w:rFonts w:ascii="Century Gothic" w:cs="Century Gothic" w:eastAsia="Century Gothic" w:hAnsi="Century Gothic"/>
                  <w:color w:val="0563c1"/>
                  <w:sz w:val="24"/>
                  <w:szCs w:val="24"/>
                  <w:u w:val="single"/>
                  <w:rtl w:val="0"/>
                </w:rPr>
                <w:t xml:space="preserve">2020</w:t>
              </w:r>
            </w:hyperlink>
            <w:r w:rsidDel="00000000" w:rsidR="00000000" w:rsidRPr="00000000">
              <w:rPr>
                <w:rFonts w:ascii="Century Gothic" w:cs="Century Gothic" w:eastAsia="Century Gothic" w:hAnsi="Century Gothic"/>
                <w:color w:val="000000"/>
                <w:sz w:val="24"/>
                <w:szCs w:val="24"/>
                <w:rtl w:val="0"/>
              </w:rPr>
              <w:t xml:space="preserve">)</w:t>
            </w:r>
            <w:r w:rsidDel="00000000" w:rsidR="00000000" w:rsidRPr="00000000">
              <w:rPr>
                <w:rtl w:val="0"/>
              </w:rPr>
            </w:r>
          </w:p>
        </w:tc>
      </w:tr>
      <w:tr>
        <w:trPr>
          <w:cantSplit w:val="0"/>
          <w:tblHeader w:val="0"/>
        </w:trPr>
        <w:tc>
          <w:tcPr/>
          <w:p w:rsidR="00000000" w:rsidDel="00000000" w:rsidP="00000000" w:rsidRDefault="00000000" w:rsidRPr="00000000" w14:paraId="000000C0">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SDG6—Clean water and sanitation</w:t>
            </w:r>
            <w:r w:rsidDel="00000000" w:rsidR="00000000" w:rsidRPr="00000000">
              <w:rPr>
                <w:rtl w:val="0"/>
              </w:rPr>
            </w:r>
          </w:p>
        </w:tc>
        <w:tc>
          <w:tcPr/>
          <w:p w:rsidR="00000000" w:rsidDel="00000000" w:rsidP="00000000" w:rsidRDefault="00000000" w:rsidRPr="00000000" w14:paraId="000000C1">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CLIs implement a diverse range of appropriate water management technologies. For example, in Tamera Ecovillage in the Alentejo region of Portugal, water management is a central ecological topic. The community develops and tests a wide variety of infrastructures for water retention in the landscape and usage within the community, and promotes wider discussion, reflection and innovation through various forms of collaboration with internationally recognised authorities as well as testing a wide variety of infrastructures to support and enhance water cycling and storage (Vizinho et al., </w:t>
            </w:r>
            <w:hyperlink r:id="rId26">
              <w:r w:rsidDel="00000000" w:rsidR="00000000" w:rsidRPr="00000000">
                <w:rPr>
                  <w:rFonts w:ascii="Century Gothic" w:cs="Century Gothic" w:eastAsia="Century Gothic" w:hAnsi="Century Gothic"/>
                  <w:color w:val="0563c1"/>
                  <w:sz w:val="24"/>
                  <w:szCs w:val="24"/>
                  <w:u w:val="single"/>
                  <w:rtl w:val="0"/>
                </w:rPr>
                <w:t xml:space="preserve">2015</w:t>
              </w:r>
            </w:hyperlink>
            <w:r w:rsidDel="00000000" w:rsidR="00000000" w:rsidRPr="00000000">
              <w:rPr>
                <w:rFonts w:ascii="Century Gothic" w:cs="Century Gothic" w:eastAsia="Century Gothic" w:hAnsi="Century Gothic"/>
                <w:color w:val="000000"/>
                <w:sz w:val="24"/>
                <w:szCs w:val="24"/>
                <w:rtl w:val="0"/>
              </w:rPr>
              <w:t xml:space="preserve">). Lockyer (</w:t>
            </w:r>
            <w:hyperlink r:id="rId27">
              <w:r w:rsidDel="00000000" w:rsidR="00000000" w:rsidRPr="00000000">
                <w:rPr>
                  <w:rFonts w:ascii="Century Gothic" w:cs="Century Gothic" w:eastAsia="Century Gothic" w:hAnsi="Century Gothic"/>
                  <w:color w:val="0563c1"/>
                  <w:sz w:val="24"/>
                  <w:szCs w:val="24"/>
                  <w:u w:val="single"/>
                  <w:rtl w:val="0"/>
                </w:rPr>
                <w:t xml:space="preserve">2017</w:t>
              </w:r>
            </w:hyperlink>
            <w:r w:rsidDel="00000000" w:rsidR="00000000" w:rsidRPr="00000000">
              <w:rPr>
                <w:rFonts w:ascii="Century Gothic" w:cs="Century Gothic" w:eastAsia="Century Gothic" w:hAnsi="Century Gothic"/>
                <w:color w:val="000000"/>
                <w:sz w:val="24"/>
                <w:szCs w:val="24"/>
                <w:rtl w:val="0"/>
              </w:rPr>
              <w:t xml:space="preserve">), quantified water consumption at the Dancing Rabbit Ecovillage in the United States, and found that per capita daily water use was 23% of the average United States citizen, thanks to rainwater catchment technologies and water saving practices, among other simple but effective socio-technical innovations</w:t>
            </w:r>
            <w:r w:rsidDel="00000000" w:rsidR="00000000" w:rsidRPr="00000000">
              <w:rPr>
                <w:rtl w:val="0"/>
              </w:rPr>
            </w:r>
          </w:p>
        </w:tc>
      </w:tr>
      <w:tr>
        <w:trPr>
          <w:cantSplit w:val="0"/>
          <w:tblHeader w:val="0"/>
        </w:trPr>
        <w:tc>
          <w:tcPr/>
          <w:p w:rsidR="00000000" w:rsidDel="00000000" w:rsidP="00000000" w:rsidRDefault="00000000" w:rsidRPr="00000000" w14:paraId="000000C2">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SDG7—Affordable and clean energy</w:t>
            </w:r>
            <w:r w:rsidDel="00000000" w:rsidR="00000000" w:rsidRPr="00000000">
              <w:rPr>
                <w:rtl w:val="0"/>
              </w:rPr>
            </w:r>
          </w:p>
        </w:tc>
        <w:tc>
          <w:tcPr/>
          <w:p w:rsidR="00000000" w:rsidDel="00000000" w:rsidP="00000000" w:rsidRDefault="00000000" w:rsidRPr="00000000" w14:paraId="000000C3">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CLIs are active in both supply-side and demand-side interventions relating to sustainable energy, both through various forms of community-owned energy generation and initiatives to promote less energy-intensive settlements and lifestyles. Community energy in many cases is the initial and/or most important form of action, with community energy projects often providing a focus for a wider range of activities powered and/or funded by renewable energy generation infrastructure, or helping to create enabling conditions for other work by reducing dependencies on infrastructures that are corporate-run, environmentally destructive and dependent on fossil fuels, nuclear or other forms of unsustainable generation (Becker et al., </w:t>
            </w:r>
            <w:hyperlink r:id="rId28">
              <w:r w:rsidDel="00000000" w:rsidR="00000000" w:rsidRPr="00000000">
                <w:rPr>
                  <w:rFonts w:ascii="Century Gothic" w:cs="Century Gothic" w:eastAsia="Century Gothic" w:hAnsi="Century Gothic"/>
                  <w:color w:val="0563c1"/>
                  <w:sz w:val="24"/>
                  <w:szCs w:val="24"/>
                  <w:u w:val="single"/>
                  <w:rtl w:val="0"/>
                </w:rPr>
                <w:t xml:space="preserve">2017</w:t>
              </w:r>
            </w:hyperlink>
            <w:r w:rsidDel="00000000" w:rsidR="00000000" w:rsidRPr="00000000">
              <w:rPr>
                <w:rFonts w:ascii="Century Gothic" w:cs="Century Gothic" w:eastAsia="Century Gothic" w:hAnsi="Century Gothic"/>
                <w:color w:val="000000"/>
                <w:sz w:val="24"/>
                <w:szCs w:val="24"/>
                <w:rtl w:val="0"/>
              </w:rPr>
              <w:t xml:space="preserve">; Hewitt et al., </w:t>
            </w:r>
            <w:hyperlink r:id="rId29">
              <w:r w:rsidDel="00000000" w:rsidR="00000000" w:rsidRPr="00000000">
                <w:rPr>
                  <w:rFonts w:ascii="Century Gothic" w:cs="Century Gothic" w:eastAsia="Century Gothic" w:hAnsi="Century Gothic"/>
                  <w:color w:val="0563c1"/>
                  <w:sz w:val="24"/>
                  <w:szCs w:val="24"/>
                  <w:u w:val="single"/>
                  <w:rtl w:val="0"/>
                </w:rPr>
                <w:t xml:space="preserve">2019</w:t>
              </w:r>
            </w:hyperlink>
            <w:r w:rsidDel="00000000" w:rsidR="00000000" w:rsidRPr="00000000">
              <w:rPr>
                <w:rFonts w:ascii="Century Gothic" w:cs="Century Gothic" w:eastAsia="Century Gothic" w:hAnsi="Century Gothic"/>
                <w:color w:val="000000"/>
                <w:sz w:val="24"/>
                <w:szCs w:val="24"/>
                <w:rtl w:val="0"/>
              </w:rPr>
              <w:t xml:space="preserve">). Hewitt et al. (</w:t>
            </w:r>
            <w:hyperlink r:id="rId30">
              <w:r w:rsidDel="00000000" w:rsidR="00000000" w:rsidRPr="00000000">
                <w:rPr>
                  <w:rFonts w:ascii="Century Gothic" w:cs="Century Gothic" w:eastAsia="Century Gothic" w:hAnsi="Century Gothic"/>
                  <w:color w:val="0563c1"/>
                  <w:sz w:val="24"/>
                  <w:szCs w:val="24"/>
                  <w:u w:val="single"/>
                  <w:rtl w:val="0"/>
                </w:rPr>
                <w:t xml:space="preserve">2019</w:t>
              </w:r>
            </w:hyperlink>
            <w:r w:rsidDel="00000000" w:rsidR="00000000" w:rsidRPr="00000000">
              <w:rPr>
                <w:rFonts w:ascii="Century Gothic" w:cs="Century Gothic" w:eastAsia="Century Gothic" w:hAnsi="Century Gothic"/>
                <w:color w:val="000000"/>
                <w:sz w:val="24"/>
                <w:szCs w:val="24"/>
                <w:rtl w:val="0"/>
              </w:rPr>
              <w:t xml:space="preserve">) provide an overview of sizeable renewable, community energy production across eight European countries, while on the demand side, Lockyer (</w:t>
            </w:r>
            <w:hyperlink r:id="rId31">
              <w:r w:rsidDel="00000000" w:rsidR="00000000" w:rsidRPr="00000000">
                <w:rPr>
                  <w:rFonts w:ascii="Century Gothic" w:cs="Century Gothic" w:eastAsia="Century Gothic" w:hAnsi="Century Gothic"/>
                  <w:color w:val="0563c1"/>
                  <w:sz w:val="24"/>
                  <w:szCs w:val="24"/>
                  <w:u w:val="single"/>
                  <w:rtl w:val="0"/>
                </w:rPr>
                <w:t xml:space="preserve">2017</w:t>
              </w:r>
            </w:hyperlink>
            <w:r w:rsidDel="00000000" w:rsidR="00000000" w:rsidRPr="00000000">
              <w:rPr>
                <w:rFonts w:ascii="Century Gothic" w:cs="Century Gothic" w:eastAsia="Century Gothic" w:hAnsi="Century Gothic"/>
                <w:color w:val="000000"/>
                <w:sz w:val="24"/>
                <w:szCs w:val="24"/>
                <w:rtl w:val="0"/>
              </w:rPr>
              <w:t xml:space="preserve">) quantified natural gas and electricity consumption at the Dancing Rabbit Ecovillage, which were, respectively, approximately 5% and 18% of the average per capita consumption of United States citizens</w:t>
            </w:r>
            <w:r w:rsidDel="00000000" w:rsidR="00000000" w:rsidRPr="00000000">
              <w:rPr>
                <w:rtl w:val="0"/>
              </w:rPr>
            </w:r>
          </w:p>
        </w:tc>
      </w:tr>
      <w:tr>
        <w:trPr>
          <w:cantSplit w:val="0"/>
          <w:tblHeader w:val="0"/>
        </w:trPr>
        <w:tc>
          <w:tcPr/>
          <w:p w:rsidR="00000000" w:rsidDel="00000000" w:rsidP="00000000" w:rsidRDefault="00000000" w:rsidRPr="00000000" w14:paraId="000000C4">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SDG8—Decent work and economic growth</w:t>
            </w:r>
            <w:r w:rsidDel="00000000" w:rsidR="00000000" w:rsidRPr="00000000">
              <w:rPr>
                <w:rtl w:val="0"/>
              </w:rPr>
            </w:r>
          </w:p>
        </w:tc>
        <w:tc>
          <w:tcPr/>
          <w:p w:rsidR="00000000" w:rsidDel="00000000" w:rsidP="00000000" w:rsidRDefault="00000000" w:rsidRPr="00000000" w14:paraId="000000C5">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CLIs are developing many alternative models of entrepreneurship representing distinctive forms of economic and organisational philosophy, reinventing the nature of work and creating livelihood opportunities that are intrinsically linked with equity, sustainability and ecological, social and cultural regeneration (Hillman et al., </w:t>
            </w:r>
            <w:hyperlink r:id="rId32">
              <w:r w:rsidDel="00000000" w:rsidR="00000000" w:rsidRPr="00000000">
                <w:rPr>
                  <w:rFonts w:ascii="Century Gothic" w:cs="Century Gothic" w:eastAsia="Century Gothic" w:hAnsi="Century Gothic"/>
                  <w:color w:val="0563c1"/>
                  <w:sz w:val="24"/>
                  <w:szCs w:val="24"/>
                  <w:u w:val="single"/>
                  <w:rtl w:val="0"/>
                </w:rPr>
                <w:t xml:space="preserve">2018</w:t>
              </w:r>
            </w:hyperlink>
            <w:r w:rsidDel="00000000" w:rsidR="00000000" w:rsidRPr="00000000">
              <w:rPr>
                <w:rFonts w:ascii="Century Gothic" w:cs="Century Gothic" w:eastAsia="Century Gothic" w:hAnsi="Century Gothic"/>
                <w:color w:val="000000"/>
                <w:sz w:val="24"/>
                <w:szCs w:val="24"/>
                <w:rtl w:val="0"/>
              </w:rPr>
              <w:t xml:space="preserve">; Genus et al., </w:t>
            </w:r>
            <w:hyperlink r:id="rId33">
              <w:r w:rsidDel="00000000" w:rsidR="00000000" w:rsidRPr="00000000">
                <w:rPr>
                  <w:rFonts w:ascii="Century Gothic" w:cs="Century Gothic" w:eastAsia="Century Gothic" w:hAnsi="Century Gothic"/>
                  <w:color w:val="0563c1"/>
                  <w:sz w:val="24"/>
                  <w:szCs w:val="24"/>
                  <w:u w:val="single"/>
                  <w:rtl w:val="0"/>
                </w:rPr>
                <w:t xml:space="preserve">2021</w:t>
              </w:r>
            </w:hyperlink>
            <w:r w:rsidDel="00000000" w:rsidR="00000000" w:rsidRPr="00000000">
              <w:rPr>
                <w:rFonts w:ascii="Century Gothic" w:cs="Century Gothic" w:eastAsia="Century Gothic" w:hAnsi="Century Gothic"/>
                <w:color w:val="000000"/>
                <w:sz w:val="24"/>
                <w:szCs w:val="24"/>
                <w:rtl w:val="0"/>
              </w:rPr>
              <w:t xml:space="preserve">). In addition, increasing numbers of community initiatives explicitly associate with zero-growth or degrowth economic scenarios in the global North (Robra et al., </w:t>
            </w:r>
            <w:hyperlink r:id="rId34">
              <w:r w:rsidDel="00000000" w:rsidR="00000000" w:rsidRPr="00000000">
                <w:rPr>
                  <w:rFonts w:ascii="Century Gothic" w:cs="Century Gothic" w:eastAsia="Century Gothic" w:hAnsi="Century Gothic"/>
                  <w:color w:val="0563c1"/>
                  <w:sz w:val="24"/>
                  <w:szCs w:val="24"/>
                  <w:u w:val="single"/>
                  <w:rtl w:val="0"/>
                </w:rPr>
                <w:t xml:space="preserve">2020</w:t>
              </w:r>
            </w:hyperlink>
            <w:r w:rsidDel="00000000" w:rsidR="00000000" w:rsidRPr="00000000">
              <w:rPr>
                <w:rFonts w:ascii="Century Gothic" w:cs="Century Gothic" w:eastAsia="Century Gothic" w:hAnsi="Century Gothic"/>
                <w:color w:val="000000"/>
                <w:sz w:val="24"/>
                <w:szCs w:val="24"/>
                <w:rtl w:val="0"/>
              </w:rPr>
              <w:t xml:space="preserve">), as a fundamental element of decent work and human flourishing. Watson (</w:t>
            </w:r>
            <w:hyperlink r:id="rId35">
              <w:r w:rsidDel="00000000" w:rsidR="00000000" w:rsidRPr="00000000">
                <w:rPr>
                  <w:rFonts w:ascii="Century Gothic" w:cs="Century Gothic" w:eastAsia="Century Gothic" w:hAnsi="Century Gothic"/>
                  <w:color w:val="0563c1"/>
                  <w:sz w:val="24"/>
                  <w:szCs w:val="24"/>
                  <w:u w:val="single"/>
                  <w:rtl w:val="0"/>
                </w:rPr>
                <w:t xml:space="preserve">2020</w:t>
              </w:r>
            </w:hyperlink>
            <w:r w:rsidDel="00000000" w:rsidR="00000000" w:rsidRPr="00000000">
              <w:rPr>
                <w:rFonts w:ascii="Century Gothic" w:cs="Century Gothic" w:eastAsia="Century Gothic" w:hAnsi="Century Gothic"/>
                <w:color w:val="000000"/>
                <w:sz w:val="24"/>
                <w:szCs w:val="24"/>
                <w:rtl w:val="0"/>
              </w:rPr>
              <w:t xml:space="preserve">) found that Community Supported Agriculture initiatives can involve meaningful, non-alienating work relations, although the risk of self-exploitation and erosion of community relations has been observed in other cases (Galt et al., </w:t>
            </w:r>
            <w:hyperlink r:id="rId36">
              <w:r w:rsidDel="00000000" w:rsidR="00000000" w:rsidRPr="00000000">
                <w:rPr>
                  <w:rFonts w:ascii="Century Gothic" w:cs="Century Gothic" w:eastAsia="Century Gothic" w:hAnsi="Century Gothic"/>
                  <w:color w:val="0563c1"/>
                  <w:sz w:val="24"/>
                  <w:szCs w:val="24"/>
                  <w:u w:val="single"/>
                  <w:rtl w:val="0"/>
                </w:rPr>
                <w:t xml:space="preserve">2016</w:t>
              </w:r>
            </w:hyperlink>
            <w:r w:rsidDel="00000000" w:rsidR="00000000" w:rsidRPr="00000000">
              <w:rPr>
                <w:rFonts w:ascii="Century Gothic" w:cs="Century Gothic" w:eastAsia="Century Gothic" w:hAnsi="Century Gothic"/>
                <w:color w:val="000000"/>
                <w:sz w:val="24"/>
                <w:szCs w:val="24"/>
                <w:rtl w:val="0"/>
              </w:rPr>
              <w:t xml:space="preserve">)</w:t>
            </w:r>
            <w:r w:rsidDel="00000000" w:rsidR="00000000" w:rsidRPr="00000000">
              <w:rPr>
                <w:rtl w:val="0"/>
              </w:rPr>
            </w:r>
          </w:p>
        </w:tc>
      </w:tr>
      <w:tr>
        <w:trPr>
          <w:cantSplit w:val="0"/>
          <w:tblHeader w:val="0"/>
        </w:trPr>
        <w:tc>
          <w:tcPr/>
          <w:p w:rsidR="00000000" w:rsidDel="00000000" w:rsidP="00000000" w:rsidRDefault="00000000" w:rsidRPr="00000000" w14:paraId="000000C6">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SDG9—Industry, innovation and infrastructure</w:t>
            </w:r>
            <w:r w:rsidDel="00000000" w:rsidR="00000000" w:rsidRPr="00000000">
              <w:rPr>
                <w:rtl w:val="0"/>
              </w:rPr>
            </w:r>
          </w:p>
        </w:tc>
        <w:tc>
          <w:tcPr/>
          <w:p w:rsidR="00000000" w:rsidDel="00000000" w:rsidP="00000000" w:rsidRDefault="00000000" w:rsidRPr="00000000" w14:paraId="000000C7">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CLIs are key examples of transformative social innovations, capable of challenging and overcoming technical, social and cultural lock-ins in dominant regimes and associated infrastructures. CLIs such as cohousing, renewable energy communities and car-sharing (Ornetzeder &amp; Rohracher, </w:t>
            </w:r>
            <w:hyperlink r:id="rId37">
              <w:r w:rsidDel="00000000" w:rsidR="00000000" w:rsidRPr="00000000">
                <w:rPr>
                  <w:rFonts w:ascii="Century Gothic" w:cs="Century Gothic" w:eastAsia="Century Gothic" w:hAnsi="Century Gothic"/>
                  <w:color w:val="0563c1"/>
                  <w:sz w:val="24"/>
                  <w:szCs w:val="24"/>
                  <w:u w:val="single"/>
                  <w:rtl w:val="0"/>
                </w:rPr>
                <w:t xml:space="preserve">2013</w:t>
              </w:r>
            </w:hyperlink>
            <w:r w:rsidDel="00000000" w:rsidR="00000000" w:rsidRPr="00000000">
              <w:rPr>
                <w:rFonts w:ascii="Century Gothic" w:cs="Century Gothic" w:eastAsia="Century Gothic" w:hAnsi="Century Gothic"/>
                <w:color w:val="000000"/>
                <w:sz w:val="24"/>
                <w:szCs w:val="24"/>
                <w:rtl w:val="0"/>
              </w:rPr>
              <w:t xml:space="preserve">), as well as ecovillages (Barani et al., </w:t>
            </w:r>
            <w:hyperlink r:id="rId38">
              <w:r w:rsidDel="00000000" w:rsidR="00000000" w:rsidRPr="00000000">
                <w:rPr>
                  <w:rFonts w:ascii="Century Gothic" w:cs="Century Gothic" w:eastAsia="Century Gothic" w:hAnsi="Century Gothic"/>
                  <w:color w:val="0563c1"/>
                  <w:sz w:val="24"/>
                  <w:szCs w:val="24"/>
                  <w:u w:val="single"/>
                  <w:rtl w:val="0"/>
                </w:rPr>
                <w:t xml:space="preserve">2018</w:t>
              </w:r>
            </w:hyperlink>
            <w:r w:rsidDel="00000000" w:rsidR="00000000" w:rsidRPr="00000000">
              <w:rPr>
                <w:rFonts w:ascii="Century Gothic" w:cs="Century Gothic" w:eastAsia="Century Gothic" w:hAnsi="Century Gothic"/>
                <w:color w:val="000000"/>
                <w:sz w:val="24"/>
                <w:szCs w:val="24"/>
                <w:rtl w:val="0"/>
              </w:rPr>
              <w:t xml:space="preserve">) and hackerspaces, repair cafes and appropriate technology initiatives (Smith et al., </w:t>
            </w:r>
            <w:hyperlink r:id="rId39">
              <w:r w:rsidDel="00000000" w:rsidR="00000000" w:rsidRPr="00000000">
                <w:rPr>
                  <w:rFonts w:ascii="Century Gothic" w:cs="Century Gothic" w:eastAsia="Century Gothic" w:hAnsi="Century Gothic"/>
                  <w:color w:val="0563c1"/>
                  <w:sz w:val="24"/>
                  <w:szCs w:val="24"/>
                  <w:u w:val="single"/>
                  <w:rtl w:val="0"/>
                </w:rPr>
                <w:t xml:space="preserve">2014</w:t>
              </w:r>
            </w:hyperlink>
            <w:r w:rsidDel="00000000" w:rsidR="00000000" w:rsidRPr="00000000">
              <w:rPr>
                <w:rFonts w:ascii="Century Gothic" w:cs="Century Gothic" w:eastAsia="Century Gothic" w:hAnsi="Century Gothic"/>
                <w:color w:val="000000"/>
                <w:sz w:val="24"/>
                <w:szCs w:val="24"/>
                <w:rtl w:val="0"/>
              </w:rPr>
              <w:t xml:space="preserve"> ) develop material innovation in technologies and sectors as diverse as housing, transport, finance, food production, and other areas, creating infrastructural systems that maximise their capacity for self-maintenance, regeneration and flexible adaptation to changing circumstances at the same time as they minimise their reliance on external inputs of materials and energy</w:t>
            </w:r>
            <w:r w:rsidDel="00000000" w:rsidR="00000000" w:rsidRPr="00000000">
              <w:rPr>
                <w:rtl w:val="0"/>
              </w:rPr>
            </w:r>
          </w:p>
        </w:tc>
      </w:tr>
      <w:tr>
        <w:trPr>
          <w:cantSplit w:val="0"/>
          <w:tblHeader w:val="0"/>
        </w:trPr>
        <w:tc>
          <w:tcPr/>
          <w:p w:rsidR="00000000" w:rsidDel="00000000" w:rsidP="00000000" w:rsidRDefault="00000000" w:rsidRPr="00000000" w14:paraId="000000C8">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SDG10—Reduced inequalities</w:t>
            </w:r>
            <w:r w:rsidDel="00000000" w:rsidR="00000000" w:rsidRPr="00000000">
              <w:rPr>
                <w:rtl w:val="0"/>
              </w:rPr>
            </w:r>
          </w:p>
        </w:tc>
        <w:tc>
          <w:tcPr/>
          <w:p w:rsidR="00000000" w:rsidDel="00000000" w:rsidP="00000000" w:rsidRDefault="00000000" w:rsidRPr="00000000" w14:paraId="000000C9">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CLIs empower their members through creating local and translocal connections, favouring learning and reskilling, and supporting political voice (Avelino et al., </w:t>
            </w:r>
            <w:hyperlink r:id="rId40">
              <w:r w:rsidDel="00000000" w:rsidR="00000000" w:rsidRPr="00000000">
                <w:rPr>
                  <w:rFonts w:ascii="Century Gothic" w:cs="Century Gothic" w:eastAsia="Century Gothic" w:hAnsi="Century Gothic"/>
                  <w:color w:val="0563c1"/>
                  <w:sz w:val="24"/>
                  <w:szCs w:val="24"/>
                  <w:u w:val="single"/>
                  <w:rtl w:val="0"/>
                </w:rPr>
                <w:t xml:space="preserve">2019</w:t>
              </w:r>
            </w:hyperlink>
            <w:r w:rsidDel="00000000" w:rsidR="00000000" w:rsidRPr="00000000">
              <w:rPr>
                <w:rFonts w:ascii="Century Gothic" w:cs="Century Gothic" w:eastAsia="Century Gothic" w:hAnsi="Century Gothic"/>
                <w:color w:val="000000"/>
                <w:sz w:val="24"/>
                <w:szCs w:val="24"/>
                <w:rtl w:val="0"/>
              </w:rPr>
              <w:t xml:space="preserve">). Direct practical outcomes include engagement of diverse publics (Celata &amp; Sanna, </w:t>
            </w:r>
            <w:hyperlink r:id="rId41">
              <w:r w:rsidDel="00000000" w:rsidR="00000000" w:rsidRPr="00000000">
                <w:rPr>
                  <w:rFonts w:ascii="Century Gothic" w:cs="Century Gothic" w:eastAsia="Century Gothic" w:hAnsi="Century Gothic"/>
                  <w:color w:val="0563c1"/>
                  <w:sz w:val="24"/>
                  <w:szCs w:val="24"/>
                  <w:u w:val="single"/>
                  <w:rtl w:val="0"/>
                </w:rPr>
                <w:t xml:space="preserve">2019</w:t>
              </w:r>
            </w:hyperlink>
            <w:r w:rsidDel="00000000" w:rsidR="00000000" w:rsidRPr="00000000">
              <w:rPr>
                <w:rFonts w:ascii="Century Gothic" w:cs="Century Gothic" w:eastAsia="Century Gothic" w:hAnsi="Century Gothic"/>
                <w:color w:val="000000"/>
                <w:sz w:val="24"/>
                <w:szCs w:val="24"/>
                <w:rtl w:val="0"/>
              </w:rPr>
              <w:t xml:space="preserve">) and creation of local-regional economic systems that practice inclusion and equity as core organisational principles (Esteves et al., </w:t>
            </w:r>
            <w:hyperlink r:id="rId42">
              <w:r w:rsidDel="00000000" w:rsidR="00000000" w:rsidRPr="00000000">
                <w:rPr>
                  <w:rFonts w:ascii="Century Gothic" w:cs="Century Gothic" w:eastAsia="Century Gothic" w:hAnsi="Century Gothic"/>
                  <w:color w:val="0563c1"/>
                  <w:sz w:val="24"/>
                  <w:szCs w:val="24"/>
                  <w:u w:val="single"/>
                  <w:rtl w:val="0"/>
                </w:rPr>
                <w:t xml:space="preserve">2021</w:t>
              </w:r>
            </w:hyperlink>
            <w:r w:rsidDel="00000000" w:rsidR="00000000" w:rsidRPr="00000000">
              <w:rPr>
                <w:rFonts w:ascii="Century Gothic" w:cs="Century Gothic" w:eastAsia="Century Gothic" w:hAnsi="Century Gothic"/>
                <w:color w:val="000000"/>
                <w:sz w:val="24"/>
                <w:szCs w:val="24"/>
                <w:rtl w:val="0"/>
              </w:rPr>
              <w:t xml:space="preserve">; Genus et al., </w:t>
            </w:r>
            <w:hyperlink r:id="rId43">
              <w:r w:rsidDel="00000000" w:rsidR="00000000" w:rsidRPr="00000000">
                <w:rPr>
                  <w:rFonts w:ascii="Century Gothic" w:cs="Century Gothic" w:eastAsia="Century Gothic" w:hAnsi="Century Gothic"/>
                  <w:color w:val="0563c1"/>
                  <w:sz w:val="24"/>
                  <w:szCs w:val="24"/>
                  <w:u w:val="single"/>
                  <w:rtl w:val="0"/>
                </w:rPr>
                <w:t xml:space="preserve">2021</w:t>
              </w:r>
            </w:hyperlink>
            <w:r w:rsidDel="00000000" w:rsidR="00000000" w:rsidRPr="00000000">
              <w:rPr>
                <w:rFonts w:ascii="Century Gothic" w:cs="Century Gothic" w:eastAsia="Century Gothic" w:hAnsi="Century Gothic"/>
                <w:color w:val="000000"/>
                <w:sz w:val="24"/>
                <w:szCs w:val="24"/>
                <w:rtl w:val="0"/>
              </w:rPr>
              <w:t xml:space="preserve">; Hillman et al., </w:t>
            </w:r>
            <w:hyperlink r:id="rId44">
              <w:r w:rsidDel="00000000" w:rsidR="00000000" w:rsidRPr="00000000">
                <w:rPr>
                  <w:rFonts w:ascii="Century Gothic" w:cs="Century Gothic" w:eastAsia="Century Gothic" w:hAnsi="Century Gothic"/>
                  <w:color w:val="0563c1"/>
                  <w:sz w:val="24"/>
                  <w:szCs w:val="24"/>
                  <w:u w:val="single"/>
                  <w:rtl w:val="0"/>
                </w:rPr>
                <w:t xml:space="preserve">2018</w:t>
              </w:r>
            </w:hyperlink>
            <w:r w:rsidDel="00000000" w:rsidR="00000000" w:rsidRPr="00000000">
              <w:rPr>
                <w:rFonts w:ascii="Century Gothic" w:cs="Century Gothic" w:eastAsia="Century Gothic" w:hAnsi="Century Gothic"/>
                <w:color w:val="000000"/>
                <w:sz w:val="24"/>
                <w:szCs w:val="24"/>
                <w:rtl w:val="0"/>
              </w:rPr>
              <w:t xml:space="preserve">)</w:t>
            </w:r>
            <w:r w:rsidDel="00000000" w:rsidR="00000000" w:rsidRPr="00000000">
              <w:rPr>
                <w:rtl w:val="0"/>
              </w:rPr>
            </w:r>
          </w:p>
        </w:tc>
      </w:tr>
      <w:tr>
        <w:trPr>
          <w:cantSplit w:val="0"/>
          <w:tblHeader w:val="0"/>
        </w:trPr>
        <w:tc>
          <w:tcPr/>
          <w:p w:rsidR="00000000" w:rsidDel="00000000" w:rsidP="00000000" w:rsidRDefault="00000000" w:rsidRPr="00000000" w14:paraId="000000CA">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SDG11—Sustainable cities and communities</w:t>
            </w:r>
            <w:r w:rsidDel="00000000" w:rsidR="00000000" w:rsidRPr="00000000">
              <w:rPr>
                <w:rtl w:val="0"/>
              </w:rPr>
            </w:r>
          </w:p>
        </w:tc>
        <w:tc>
          <w:tcPr/>
          <w:p w:rsidR="00000000" w:rsidDel="00000000" w:rsidP="00000000" w:rsidRDefault="00000000" w:rsidRPr="00000000" w14:paraId="000000CB">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Most documented ecovillages and co-housing projects achieve per capita ecological footprints far below national averages, including the only two documented examples of European settlements with per capita ecological footprints below levels required for global sustainability (Daly, </w:t>
            </w:r>
            <w:hyperlink r:id="rId45">
              <w:r w:rsidDel="00000000" w:rsidR="00000000" w:rsidRPr="00000000">
                <w:rPr>
                  <w:rFonts w:ascii="Century Gothic" w:cs="Century Gothic" w:eastAsia="Century Gothic" w:hAnsi="Century Gothic"/>
                  <w:color w:val="0563c1"/>
                  <w:sz w:val="24"/>
                  <w:szCs w:val="24"/>
                  <w:u w:val="single"/>
                  <w:rtl w:val="0"/>
                </w:rPr>
                <w:t xml:space="preserve">2017</w:t>
              </w:r>
            </w:hyperlink>
            <w:r w:rsidDel="00000000" w:rsidR="00000000" w:rsidRPr="00000000">
              <w:rPr>
                <w:rFonts w:ascii="Century Gothic" w:cs="Century Gothic" w:eastAsia="Century Gothic" w:hAnsi="Century Gothic"/>
                <w:color w:val="000000"/>
                <w:sz w:val="24"/>
                <w:szCs w:val="24"/>
                <w:rtl w:val="0"/>
              </w:rPr>
              <w:t xml:space="preserve">; also see Lockyer, </w:t>
            </w:r>
            <w:hyperlink r:id="rId46">
              <w:r w:rsidDel="00000000" w:rsidR="00000000" w:rsidRPr="00000000">
                <w:rPr>
                  <w:rFonts w:ascii="Century Gothic" w:cs="Century Gothic" w:eastAsia="Century Gothic" w:hAnsi="Century Gothic"/>
                  <w:color w:val="0563c1"/>
                  <w:sz w:val="24"/>
                  <w:szCs w:val="24"/>
                  <w:u w:val="single"/>
                  <w:rtl w:val="0"/>
                </w:rPr>
                <w:t xml:space="preserve">2017</w:t>
              </w:r>
            </w:hyperlink>
            <w:r w:rsidDel="00000000" w:rsidR="00000000" w:rsidRPr="00000000">
              <w:rPr>
                <w:rFonts w:ascii="Century Gothic" w:cs="Century Gothic" w:eastAsia="Century Gothic" w:hAnsi="Century Gothic"/>
                <w:color w:val="000000"/>
                <w:sz w:val="24"/>
                <w:szCs w:val="24"/>
                <w:rtl w:val="0"/>
              </w:rPr>
              <w:t xml:space="preserve">). CLIs have been identified as a core component of transitions to sustainability in urban settings (Frantzeskaki et al., </w:t>
            </w:r>
            <w:hyperlink r:id="rId47">
              <w:r w:rsidDel="00000000" w:rsidR="00000000" w:rsidRPr="00000000">
                <w:rPr>
                  <w:rFonts w:ascii="Century Gothic" w:cs="Century Gothic" w:eastAsia="Century Gothic" w:hAnsi="Century Gothic"/>
                  <w:color w:val="0563c1"/>
                  <w:sz w:val="24"/>
                  <w:szCs w:val="24"/>
                  <w:u w:val="single"/>
                  <w:rtl w:val="0"/>
                </w:rPr>
                <w:t xml:space="preserve">2016</w:t>
              </w:r>
            </w:hyperlink>
            <w:r w:rsidDel="00000000" w:rsidR="00000000" w:rsidRPr="00000000">
              <w:rPr>
                <w:rFonts w:ascii="Century Gothic" w:cs="Century Gothic" w:eastAsia="Century Gothic" w:hAnsi="Century Gothic"/>
                <w:color w:val="000000"/>
                <w:sz w:val="24"/>
                <w:szCs w:val="24"/>
                <w:rtl w:val="0"/>
              </w:rPr>
              <w:t xml:space="preserve">)</w:t>
            </w:r>
            <w:r w:rsidDel="00000000" w:rsidR="00000000" w:rsidRPr="00000000">
              <w:rPr>
                <w:rtl w:val="0"/>
              </w:rPr>
            </w:r>
          </w:p>
        </w:tc>
      </w:tr>
      <w:tr>
        <w:trPr>
          <w:cantSplit w:val="0"/>
          <w:tblHeader w:val="0"/>
        </w:trPr>
        <w:tc>
          <w:tcPr/>
          <w:p w:rsidR="00000000" w:rsidDel="00000000" w:rsidP="00000000" w:rsidRDefault="00000000" w:rsidRPr="00000000" w14:paraId="000000CC">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SDG12—Responsible production and consumption</w:t>
            </w:r>
            <w:r w:rsidDel="00000000" w:rsidR="00000000" w:rsidRPr="00000000">
              <w:rPr>
                <w:rtl w:val="0"/>
              </w:rPr>
            </w:r>
          </w:p>
        </w:tc>
        <w:tc>
          <w:tcPr/>
          <w:p w:rsidR="00000000" w:rsidDel="00000000" w:rsidP="00000000" w:rsidRDefault="00000000" w:rsidRPr="00000000" w14:paraId="000000CD">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Several general surveys of CLIs such as ecovillages and other intentional communities reveal significant impacts in more sustainable production and consumption, along with numerous related social benefits (Barani et al., </w:t>
            </w:r>
            <w:hyperlink r:id="rId48">
              <w:r w:rsidDel="00000000" w:rsidR="00000000" w:rsidRPr="00000000">
                <w:rPr>
                  <w:rFonts w:ascii="Century Gothic" w:cs="Century Gothic" w:eastAsia="Century Gothic" w:hAnsi="Century Gothic"/>
                  <w:color w:val="0563c1"/>
                  <w:sz w:val="24"/>
                  <w:szCs w:val="24"/>
                  <w:u w:val="single"/>
                  <w:rtl w:val="0"/>
                </w:rPr>
                <w:t xml:space="preserve">2018</w:t>
              </w:r>
            </w:hyperlink>
            <w:r w:rsidDel="00000000" w:rsidR="00000000" w:rsidRPr="00000000">
              <w:rPr>
                <w:rFonts w:ascii="Century Gothic" w:cs="Century Gothic" w:eastAsia="Century Gothic" w:hAnsi="Century Gothic"/>
                <w:color w:val="000000"/>
                <w:sz w:val="24"/>
                <w:szCs w:val="24"/>
                <w:rtl w:val="0"/>
              </w:rPr>
              <w:t xml:space="preserve">; Celata &amp; Sanna, </w:t>
            </w:r>
            <w:hyperlink r:id="rId49">
              <w:r w:rsidDel="00000000" w:rsidR="00000000" w:rsidRPr="00000000">
                <w:rPr>
                  <w:rFonts w:ascii="Century Gothic" w:cs="Century Gothic" w:eastAsia="Century Gothic" w:hAnsi="Century Gothic"/>
                  <w:color w:val="0563c1"/>
                  <w:sz w:val="24"/>
                  <w:szCs w:val="24"/>
                  <w:u w:val="single"/>
                  <w:rtl w:val="0"/>
                </w:rPr>
                <w:t xml:space="preserve">2019</w:t>
              </w:r>
            </w:hyperlink>
            <w:r w:rsidDel="00000000" w:rsidR="00000000" w:rsidRPr="00000000">
              <w:rPr>
                <w:rFonts w:ascii="Century Gothic" w:cs="Century Gothic" w:eastAsia="Century Gothic" w:hAnsi="Century Gothic"/>
                <w:color w:val="000000"/>
                <w:sz w:val="24"/>
                <w:szCs w:val="24"/>
                <w:rtl w:val="0"/>
              </w:rPr>
              <w:t xml:space="preserve">; Daly, </w:t>
            </w:r>
            <w:hyperlink r:id="rId50">
              <w:r w:rsidDel="00000000" w:rsidR="00000000" w:rsidRPr="00000000">
                <w:rPr>
                  <w:rFonts w:ascii="Century Gothic" w:cs="Century Gothic" w:eastAsia="Century Gothic" w:hAnsi="Century Gothic"/>
                  <w:color w:val="0563c1"/>
                  <w:sz w:val="24"/>
                  <w:szCs w:val="24"/>
                  <w:u w:val="single"/>
                  <w:rtl w:val="0"/>
                </w:rPr>
                <w:t xml:space="preserve">2017</w:t>
              </w:r>
            </w:hyperlink>
            <w:r w:rsidDel="00000000" w:rsidR="00000000" w:rsidRPr="00000000">
              <w:rPr>
                <w:rFonts w:ascii="Century Gothic" w:cs="Century Gothic" w:eastAsia="Century Gothic" w:hAnsi="Century Gothic"/>
                <w:color w:val="000000"/>
                <w:sz w:val="24"/>
                <w:szCs w:val="24"/>
                <w:rtl w:val="0"/>
              </w:rPr>
              <w:t xml:space="preserve">). For example, Cloughjordan Ecovillage in Ireland employs a range of technical, behavioural and social measures, leading to a per capita ecological footprint less than half the national average. Ecological Footprint methodology is proactively employed as a learning and feedback mechanism to work towards more sustainable production and consumption (Carragher &amp; Peters, </w:t>
            </w:r>
            <w:hyperlink r:id="rId51">
              <w:r w:rsidDel="00000000" w:rsidR="00000000" w:rsidRPr="00000000">
                <w:rPr>
                  <w:rFonts w:ascii="Century Gothic" w:cs="Century Gothic" w:eastAsia="Century Gothic" w:hAnsi="Century Gothic"/>
                  <w:color w:val="0563c1"/>
                  <w:sz w:val="24"/>
                  <w:szCs w:val="24"/>
                  <w:u w:val="single"/>
                  <w:rtl w:val="0"/>
                </w:rPr>
                <w:t xml:space="preserve">2018</w:t>
              </w:r>
            </w:hyperlink>
            <w:r w:rsidDel="00000000" w:rsidR="00000000" w:rsidRPr="00000000">
              <w:rPr>
                <w:rFonts w:ascii="Century Gothic" w:cs="Century Gothic" w:eastAsia="Century Gothic" w:hAnsi="Century Gothic"/>
                <w:color w:val="000000"/>
                <w:sz w:val="24"/>
                <w:szCs w:val="24"/>
                <w:rtl w:val="0"/>
              </w:rPr>
              <w:t xml:space="preserve">)</w:t>
            </w:r>
            <w:r w:rsidDel="00000000" w:rsidR="00000000" w:rsidRPr="00000000">
              <w:rPr>
                <w:rtl w:val="0"/>
              </w:rPr>
            </w:r>
          </w:p>
        </w:tc>
      </w:tr>
      <w:tr>
        <w:trPr>
          <w:cantSplit w:val="0"/>
          <w:tblHeader w:val="0"/>
        </w:trPr>
        <w:tc>
          <w:tcPr/>
          <w:p w:rsidR="00000000" w:rsidDel="00000000" w:rsidP="00000000" w:rsidRDefault="00000000" w:rsidRPr="00000000" w14:paraId="000000CE">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SDG13—Climate action</w:t>
            </w:r>
            <w:r w:rsidDel="00000000" w:rsidR="00000000" w:rsidRPr="00000000">
              <w:rPr>
                <w:rtl w:val="0"/>
              </w:rPr>
            </w:r>
          </w:p>
        </w:tc>
        <w:tc>
          <w:tcPr/>
          <w:p w:rsidR="00000000" w:rsidDel="00000000" w:rsidP="00000000" w:rsidRDefault="00000000" w:rsidRPr="00000000" w14:paraId="000000CF">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CLIs such as food cooperatives and renewable energy communities show significant realised reductions in beneficiaries' lifestyle-associated greenhouse gas emissions in several areas, including food consumption, transport, energy consumption, waste production and disposal (Landholm et al., </w:t>
            </w:r>
            <w:hyperlink r:id="rId52">
              <w:r w:rsidDel="00000000" w:rsidR="00000000" w:rsidRPr="00000000">
                <w:rPr>
                  <w:rFonts w:ascii="Century Gothic" w:cs="Century Gothic" w:eastAsia="Century Gothic" w:hAnsi="Century Gothic"/>
                  <w:color w:val="0563c1"/>
                  <w:sz w:val="24"/>
                  <w:szCs w:val="24"/>
                  <w:u w:val="single"/>
                  <w:rtl w:val="0"/>
                </w:rPr>
                <w:t xml:space="preserve">2019</w:t>
              </w:r>
            </w:hyperlink>
            <w:r w:rsidDel="00000000" w:rsidR="00000000" w:rsidRPr="00000000">
              <w:rPr>
                <w:rFonts w:ascii="Century Gothic" w:cs="Century Gothic" w:eastAsia="Century Gothic" w:hAnsi="Century Gothic"/>
                <w:color w:val="000000"/>
                <w:sz w:val="24"/>
                <w:szCs w:val="24"/>
                <w:rtl w:val="0"/>
              </w:rPr>
              <w:t xml:space="preserve">). The aggregate potential emissions reductions, in scenarios assuming high levels of public engagement in CLIs, exceed 2020 targets in most EU countries and would represent significant contributions to 2030 to 2050 targets (Martellozzo et al., </w:t>
            </w:r>
            <w:hyperlink r:id="rId53">
              <w:r w:rsidDel="00000000" w:rsidR="00000000" w:rsidRPr="00000000">
                <w:rPr>
                  <w:rFonts w:ascii="Century Gothic" w:cs="Century Gothic" w:eastAsia="Century Gothic" w:hAnsi="Century Gothic"/>
                  <w:color w:val="0563c1"/>
                  <w:sz w:val="24"/>
                  <w:szCs w:val="24"/>
                  <w:u w:val="single"/>
                  <w:rtl w:val="0"/>
                </w:rPr>
                <w:t xml:space="preserve">2019</w:t>
              </w:r>
            </w:hyperlink>
            <w:r w:rsidDel="00000000" w:rsidR="00000000" w:rsidRPr="00000000">
              <w:rPr>
                <w:rFonts w:ascii="Century Gothic" w:cs="Century Gothic" w:eastAsia="Century Gothic" w:hAnsi="Century Gothic"/>
                <w:color w:val="000000"/>
                <w:sz w:val="24"/>
                <w:szCs w:val="24"/>
                <w:rtl w:val="0"/>
              </w:rPr>
              <w:t xml:space="preserve">)</w:t>
            </w:r>
            <w:r w:rsidDel="00000000" w:rsidR="00000000" w:rsidRPr="00000000">
              <w:rPr>
                <w:rtl w:val="0"/>
              </w:rPr>
            </w:r>
          </w:p>
        </w:tc>
      </w:tr>
      <w:tr>
        <w:trPr>
          <w:cantSplit w:val="0"/>
          <w:tblHeader w:val="0"/>
        </w:trPr>
        <w:tc>
          <w:tcPr/>
          <w:p w:rsidR="00000000" w:rsidDel="00000000" w:rsidP="00000000" w:rsidRDefault="00000000" w:rsidRPr="00000000" w14:paraId="000000D0">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SDG15—Life on land</w:t>
            </w:r>
            <w:r w:rsidDel="00000000" w:rsidR="00000000" w:rsidRPr="00000000">
              <w:rPr>
                <w:rtl w:val="0"/>
              </w:rPr>
            </w:r>
          </w:p>
        </w:tc>
        <w:tc>
          <w:tcPr/>
          <w:p w:rsidR="00000000" w:rsidDel="00000000" w:rsidP="00000000" w:rsidRDefault="00000000" w:rsidRPr="00000000" w14:paraId="000000D1">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Many CLIs are adopting and promoting agroecological and agroforestry-based methods of food production rooted in local cultural and environmental conditions and able to mitigate climate change, increase biodiversity, increase soil quality and generate other socio-ecological benefits (Doernberg et al., </w:t>
            </w:r>
            <w:hyperlink r:id="rId54">
              <w:r w:rsidDel="00000000" w:rsidR="00000000" w:rsidRPr="00000000">
                <w:rPr>
                  <w:rFonts w:ascii="Century Gothic" w:cs="Century Gothic" w:eastAsia="Century Gothic" w:hAnsi="Century Gothic"/>
                  <w:color w:val="0563c1"/>
                  <w:sz w:val="24"/>
                  <w:szCs w:val="24"/>
                  <w:u w:val="single"/>
                  <w:rtl w:val="0"/>
                </w:rPr>
                <w:t xml:space="preserve">2022</w:t>
              </w:r>
            </w:hyperlink>
            <w:r w:rsidDel="00000000" w:rsidR="00000000" w:rsidRPr="00000000">
              <w:rPr>
                <w:rFonts w:ascii="Century Gothic" w:cs="Century Gothic" w:eastAsia="Century Gothic" w:hAnsi="Century Gothic"/>
                <w:color w:val="000000"/>
                <w:sz w:val="24"/>
                <w:szCs w:val="24"/>
                <w:rtl w:val="0"/>
              </w:rPr>
              <w:t xml:space="preserve">; Wartman et al., </w:t>
            </w:r>
            <w:hyperlink r:id="rId55">
              <w:r w:rsidDel="00000000" w:rsidR="00000000" w:rsidRPr="00000000">
                <w:rPr>
                  <w:rFonts w:ascii="Century Gothic" w:cs="Century Gothic" w:eastAsia="Century Gothic" w:hAnsi="Century Gothic"/>
                  <w:color w:val="0563c1"/>
                  <w:sz w:val="24"/>
                  <w:szCs w:val="24"/>
                  <w:u w:val="single"/>
                  <w:rtl w:val="0"/>
                </w:rPr>
                <w:t xml:space="preserve">2018</w:t>
              </w:r>
            </w:hyperlink>
            <w:r w:rsidDel="00000000" w:rsidR="00000000" w:rsidRPr="00000000">
              <w:rPr>
                <w:rFonts w:ascii="Century Gothic" w:cs="Century Gothic" w:eastAsia="Century Gothic" w:hAnsi="Century Gothic"/>
                <w:color w:val="000000"/>
                <w:sz w:val="24"/>
                <w:szCs w:val="24"/>
                <w:rtl w:val="0"/>
              </w:rPr>
              <w:t xml:space="preserve">). Permaculture and other CLIs reinvigorate traditional forms of customary land management and show strong complementarity with more conventional conservation methods like protected areas (Chakroun &amp; Droz, </w:t>
            </w:r>
            <w:hyperlink r:id="rId56">
              <w:r w:rsidDel="00000000" w:rsidR="00000000" w:rsidRPr="00000000">
                <w:rPr>
                  <w:rFonts w:ascii="Century Gothic" w:cs="Century Gothic" w:eastAsia="Century Gothic" w:hAnsi="Century Gothic"/>
                  <w:color w:val="0563c1"/>
                  <w:sz w:val="24"/>
                  <w:szCs w:val="24"/>
                  <w:u w:val="single"/>
                  <w:rtl w:val="0"/>
                </w:rPr>
                <w:t xml:space="preserve">2020</w:t>
              </w:r>
            </w:hyperlink>
            <w:r w:rsidDel="00000000" w:rsidR="00000000" w:rsidRPr="00000000">
              <w:rPr>
                <w:rFonts w:ascii="Century Gothic" w:cs="Century Gothic" w:eastAsia="Century Gothic" w:hAnsi="Century Gothic"/>
                <w:color w:val="000000"/>
                <w:sz w:val="24"/>
                <w:szCs w:val="24"/>
                <w:rtl w:val="0"/>
              </w:rPr>
              <w:t xml:space="preserve">)</w:t>
            </w:r>
            <w:r w:rsidDel="00000000" w:rsidR="00000000" w:rsidRPr="00000000">
              <w:rPr>
                <w:rtl w:val="0"/>
              </w:rPr>
            </w:r>
          </w:p>
        </w:tc>
      </w:tr>
      <w:tr>
        <w:trPr>
          <w:cantSplit w:val="0"/>
          <w:tblHeader w:val="0"/>
        </w:trPr>
        <w:tc>
          <w:tcPr/>
          <w:p w:rsidR="00000000" w:rsidDel="00000000" w:rsidP="00000000" w:rsidRDefault="00000000" w:rsidRPr="00000000" w14:paraId="000000D2">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SDG16—Peace, justice and strong institutions</w:t>
            </w:r>
            <w:r w:rsidDel="00000000" w:rsidR="00000000" w:rsidRPr="00000000">
              <w:rPr>
                <w:rtl w:val="0"/>
              </w:rPr>
            </w:r>
          </w:p>
        </w:tc>
        <w:tc>
          <w:tcPr/>
          <w:p w:rsidR="00000000" w:rsidDel="00000000" w:rsidP="00000000" w:rsidRDefault="00000000" w:rsidRPr="00000000" w14:paraId="000000D3">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CLIs typically operate as commons, self-organised institutions for collective action rooted in local social and ecological realities capable of nesting at multiple spatial and social scales (Esteves et al., </w:t>
            </w:r>
            <w:hyperlink r:id="rId57">
              <w:r w:rsidDel="00000000" w:rsidR="00000000" w:rsidRPr="00000000">
                <w:rPr>
                  <w:rFonts w:ascii="Century Gothic" w:cs="Century Gothic" w:eastAsia="Century Gothic" w:hAnsi="Century Gothic"/>
                  <w:color w:val="0563c1"/>
                  <w:sz w:val="24"/>
                  <w:szCs w:val="24"/>
                  <w:u w:val="single"/>
                  <w:rtl w:val="0"/>
                </w:rPr>
                <w:t xml:space="preserve">2021</w:t>
              </w:r>
            </w:hyperlink>
            <w:r w:rsidDel="00000000" w:rsidR="00000000" w:rsidRPr="00000000">
              <w:rPr>
                <w:rFonts w:ascii="Century Gothic" w:cs="Century Gothic" w:eastAsia="Century Gothic" w:hAnsi="Century Gothic"/>
                <w:color w:val="000000"/>
                <w:sz w:val="24"/>
                <w:szCs w:val="24"/>
                <w:rtl w:val="0"/>
              </w:rPr>
              <w:t xml:space="preserve">). Some have a specific focus on new forms of relationship building for global peace (Esteves, </w:t>
            </w:r>
            <w:hyperlink r:id="rId58">
              <w:r w:rsidDel="00000000" w:rsidR="00000000" w:rsidRPr="00000000">
                <w:rPr>
                  <w:rFonts w:ascii="Century Gothic" w:cs="Century Gothic" w:eastAsia="Century Gothic" w:hAnsi="Century Gothic"/>
                  <w:color w:val="0563c1"/>
                  <w:sz w:val="24"/>
                  <w:szCs w:val="24"/>
                  <w:u w:val="single"/>
                  <w:rtl w:val="0"/>
                </w:rPr>
                <w:t xml:space="preserve">2020</w:t>
              </w:r>
            </w:hyperlink>
            <w:r w:rsidDel="00000000" w:rsidR="00000000" w:rsidRPr="00000000">
              <w:rPr>
                <w:rFonts w:ascii="Century Gothic" w:cs="Century Gothic" w:eastAsia="Century Gothic" w:hAnsi="Century Gothic"/>
                <w:color w:val="000000"/>
                <w:sz w:val="24"/>
                <w:szCs w:val="24"/>
                <w:rtl w:val="0"/>
              </w:rPr>
              <w:t xml:space="preserve">). Interactions between CLIs and incumbents in the energy sector are creating new hybrid forms of institutionalisation better able to respond to pressures for transformative change (Wittmayer et al., </w:t>
            </w:r>
            <w:hyperlink r:id="rId59">
              <w:r w:rsidDel="00000000" w:rsidR="00000000" w:rsidRPr="00000000">
                <w:rPr>
                  <w:rFonts w:ascii="Century Gothic" w:cs="Century Gothic" w:eastAsia="Century Gothic" w:hAnsi="Century Gothic"/>
                  <w:color w:val="0563c1"/>
                  <w:sz w:val="24"/>
                  <w:szCs w:val="24"/>
                  <w:u w:val="single"/>
                  <w:rtl w:val="0"/>
                </w:rPr>
                <w:t xml:space="preserve">2020</w:t>
              </w:r>
            </w:hyperlink>
            <w:r w:rsidDel="00000000" w:rsidR="00000000" w:rsidRPr="00000000">
              <w:rPr>
                <w:rFonts w:ascii="Century Gothic" w:cs="Century Gothic" w:eastAsia="Century Gothic" w:hAnsi="Century Gothic"/>
                <w:color w:val="000000"/>
                <w:sz w:val="24"/>
                <w:szCs w:val="24"/>
                <w:rtl w:val="0"/>
              </w:rPr>
              <w:t xml:space="preserve">)</w:t>
            </w:r>
            <w:r w:rsidDel="00000000" w:rsidR="00000000" w:rsidRPr="00000000">
              <w:rPr>
                <w:rtl w:val="0"/>
              </w:rPr>
            </w:r>
          </w:p>
        </w:tc>
      </w:tr>
      <w:tr>
        <w:trPr>
          <w:cantSplit w:val="0"/>
          <w:tblHeader w:val="0"/>
        </w:trPr>
        <w:tc>
          <w:tcPr/>
          <w:p w:rsidR="00000000" w:rsidDel="00000000" w:rsidP="00000000" w:rsidRDefault="00000000" w:rsidRPr="00000000" w14:paraId="000000D4">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SDG17—Partnership for the goals</w:t>
            </w:r>
            <w:r w:rsidDel="00000000" w:rsidR="00000000" w:rsidRPr="00000000">
              <w:rPr>
                <w:rtl w:val="0"/>
              </w:rPr>
            </w:r>
          </w:p>
        </w:tc>
        <w:tc>
          <w:tcPr/>
          <w:p w:rsidR="00000000" w:rsidDel="00000000" w:rsidP="00000000" w:rsidRDefault="00000000" w:rsidRPr="00000000" w14:paraId="000000D5">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color w:val="000000"/>
                <w:sz w:val="24"/>
                <w:szCs w:val="24"/>
                <w:rtl w:val="0"/>
              </w:rPr>
              <w:t xml:space="preserve">CLIs organise and collaborate within translocal networks that create diverse forms of connection, partnership, support and learning among local initiatives (Avelino et al., </w:t>
            </w:r>
            <w:hyperlink r:id="rId60">
              <w:r w:rsidDel="00000000" w:rsidR="00000000" w:rsidRPr="00000000">
                <w:rPr>
                  <w:rFonts w:ascii="Century Gothic" w:cs="Century Gothic" w:eastAsia="Century Gothic" w:hAnsi="Century Gothic"/>
                  <w:color w:val="0563c1"/>
                  <w:sz w:val="24"/>
                  <w:szCs w:val="24"/>
                  <w:u w:val="single"/>
                  <w:rtl w:val="0"/>
                </w:rPr>
                <w:t xml:space="preserve">2019</w:t>
              </w:r>
            </w:hyperlink>
            <w:r w:rsidDel="00000000" w:rsidR="00000000" w:rsidRPr="00000000">
              <w:rPr>
                <w:rFonts w:ascii="Century Gothic" w:cs="Century Gothic" w:eastAsia="Century Gothic" w:hAnsi="Century Gothic"/>
                <w:color w:val="000000"/>
                <w:sz w:val="24"/>
                <w:szCs w:val="24"/>
                <w:rtl w:val="0"/>
              </w:rPr>
              <w:t xml:space="preserve">). Several translocal networks exist globally each involving hundreds to thousands of local initiatives; for example, the Transition Network, the Global Ecovillage Network, national Community-Supported-Agriculture networks and their European umbrella Urgenci, various national Repair Café networks, and national and international Social and Solidarity Economy networks, among others. New forms of multi-actor local partnership include the Municipalities in Transition framework, which supports collaborations for transformative action on sustainability between Transition initiatives and local government, designed to help to navigate uncertainty and complexity and support emergent and unplanned outcomes (Macedo et al., </w:t>
            </w:r>
            <w:hyperlink r:id="rId61">
              <w:r w:rsidDel="00000000" w:rsidR="00000000" w:rsidRPr="00000000">
                <w:rPr>
                  <w:rFonts w:ascii="Century Gothic" w:cs="Century Gothic" w:eastAsia="Century Gothic" w:hAnsi="Century Gothic"/>
                  <w:color w:val="0563c1"/>
                  <w:sz w:val="24"/>
                  <w:szCs w:val="24"/>
                  <w:u w:val="single"/>
                  <w:rtl w:val="0"/>
                </w:rPr>
                <w:t xml:space="preserve">2020</w:t>
              </w:r>
            </w:hyperlink>
            <w:r w:rsidDel="00000000" w:rsidR="00000000" w:rsidRPr="00000000">
              <w:rPr>
                <w:rFonts w:ascii="Century Gothic" w:cs="Century Gothic" w:eastAsia="Century Gothic" w:hAnsi="Century Gothic"/>
                <w:color w:val="000000"/>
                <w:sz w:val="24"/>
                <w:szCs w:val="24"/>
                <w:rtl w:val="0"/>
              </w:rPr>
              <w:t xml:space="preserve">)</w:t>
            </w:r>
            <w:r w:rsidDel="00000000" w:rsidR="00000000" w:rsidRPr="00000000">
              <w:rPr>
                <w:rtl w:val="0"/>
              </w:rPr>
            </w:r>
          </w:p>
        </w:tc>
      </w:tr>
    </w:tbl>
    <w:p w:rsidR="00000000" w:rsidDel="00000000" w:rsidP="00000000" w:rsidRDefault="00000000" w:rsidRPr="00000000" w14:paraId="000000D6">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D7">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If you would like to learn more about Community Action on the SDGs, Goal by Goal, please visit the website on Community-led initiatives and the Sustainable Development Goals: </w:t>
      </w:r>
      <w:hyperlink r:id="rId62">
        <w:r w:rsidDel="00000000" w:rsidR="00000000" w:rsidRPr="00000000">
          <w:rPr>
            <w:rFonts w:ascii="Century Gothic" w:cs="Century Gothic" w:eastAsia="Century Gothic" w:hAnsi="Century Gothic"/>
            <w:color w:val="0563c1"/>
            <w:sz w:val="24"/>
            <w:szCs w:val="24"/>
            <w:u w:val="single"/>
            <w:rtl w:val="0"/>
          </w:rPr>
          <w:t xml:space="preserve">https://wiki.ecolise.eu/index.php/Community-led_initiatives_and_the_Sustainable_Development_Goals</w:t>
        </w:r>
      </w:hyperlink>
      <w:r w:rsidDel="00000000" w:rsidR="00000000" w:rsidRPr="00000000">
        <w:rPr>
          <w:rtl w:val="0"/>
        </w:rPr>
      </w:r>
    </w:p>
    <w:p w:rsidR="00000000" w:rsidDel="00000000" w:rsidP="00000000" w:rsidRDefault="00000000" w:rsidRPr="00000000" w14:paraId="000000D8">
      <w:pPr>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D9">
      <w:pPr>
        <w:pStyle w:val="Heading2"/>
        <w:rPr>
          <w:rFonts w:ascii="Century Gothic" w:cs="Century Gothic" w:eastAsia="Century Gothic" w:hAnsi="Century Gothic"/>
        </w:rPr>
      </w:pPr>
      <w:bookmarkStart w:colFirst="0" w:colLast="0" w:name="_heading=h.a6c63u76j9vz" w:id="7"/>
      <w:bookmarkEnd w:id="7"/>
      <w:r w:rsidDel="00000000" w:rsidR="00000000" w:rsidRPr="00000000">
        <w:rPr>
          <w:rFonts w:ascii="Century Gothic" w:cs="Century Gothic" w:eastAsia="Century Gothic" w:hAnsi="Century Gothic"/>
          <w:rtl w:val="0"/>
        </w:rPr>
        <w:t xml:space="preserve">3.2 Community Enterprise within EU Cohesion Policy (2021–2027)</w:t>
      </w:r>
    </w:p>
    <w:p w:rsidR="00000000" w:rsidDel="00000000" w:rsidP="00000000" w:rsidRDefault="00000000" w:rsidRPr="00000000" w14:paraId="000000DA">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EU Cohesion Policy aims to reduce disparities between regions and promote balanced territorial development (European Commission, 2021).</w:t>
      </w:r>
    </w:p>
    <w:p w:rsidR="00000000" w:rsidDel="00000000" w:rsidP="00000000" w:rsidRDefault="00000000" w:rsidRPr="00000000" w14:paraId="000000DB">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2021–2027 programming period defines five Policy Objectives (POs):</w:t>
      </w:r>
    </w:p>
    <w:p w:rsidR="00000000" w:rsidDel="00000000" w:rsidP="00000000" w:rsidRDefault="00000000" w:rsidRPr="00000000" w14:paraId="000000D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A smarter Europe</w:t>
      </w:r>
    </w:p>
    <w:p w:rsidR="00000000" w:rsidDel="00000000" w:rsidP="00000000" w:rsidRDefault="00000000" w:rsidRPr="00000000" w14:paraId="000000D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A greener Europe</w:t>
      </w:r>
    </w:p>
    <w:p w:rsidR="00000000" w:rsidDel="00000000" w:rsidP="00000000" w:rsidRDefault="00000000" w:rsidRPr="00000000" w14:paraId="000000D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A more connected Europe</w:t>
      </w:r>
    </w:p>
    <w:p w:rsidR="00000000" w:rsidDel="00000000" w:rsidP="00000000" w:rsidRDefault="00000000" w:rsidRPr="00000000" w14:paraId="000000D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A more social Europe</w:t>
      </w:r>
    </w:p>
    <w:p w:rsidR="00000000" w:rsidDel="00000000" w:rsidP="00000000" w:rsidRDefault="00000000" w:rsidRPr="00000000" w14:paraId="000000E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A Europe closer to citizens</w:t>
      </w:r>
    </w:p>
    <w:p w:rsidR="00000000" w:rsidDel="00000000" w:rsidP="00000000" w:rsidRDefault="00000000" w:rsidRPr="00000000" w14:paraId="000000E1">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Community enterprise models intersect particularly with PO2, PO4, and PO5.</w:t>
      </w:r>
    </w:p>
    <w:p w:rsidR="00000000" w:rsidDel="00000000" w:rsidP="00000000" w:rsidRDefault="00000000" w:rsidRPr="00000000" w14:paraId="000000E2">
      <w:pPr>
        <w:jc w:val="both"/>
        <w:rPr>
          <w:rFonts w:ascii="Century Gothic" w:cs="Century Gothic" w:eastAsia="Century Gothic" w:hAnsi="Century Gothic"/>
          <w:b w:val="1"/>
          <w:bCs w:val="1"/>
          <w:sz w:val="24"/>
          <w:szCs w:val="24"/>
        </w:rPr>
      </w:pPr>
      <w:r w:rsidDel="00000000" w:rsidR="00000000" w:rsidRPr="00000000">
        <w:rPr>
          <w:rFonts w:ascii="Century Gothic" w:cs="Century Gothic" w:eastAsia="Century Gothic" w:hAnsi="Century Gothic"/>
          <w:b w:val="1"/>
          <w:bCs w:val="1"/>
          <w:sz w:val="24"/>
          <w:szCs w:val="24"/>
          <w:rtl w:val="0"/>
        </w:rPr>
        <w:t xml:space="preserve">Policy Objective 2: A Greener Europe</w:t>
      </w:r>
    </w:p>
    <w:p w:rsidR="00000000" w:rsidDel="00000000" w:rsidP="00000000" w:rsidRDefault="00000000" w:rsidRPr="00000000" w14:paraId="000000E3">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Under the Green Deal framework (European Commission, 2019), renewable energy and circular economy projects are supported.</w:t>
      </w:r>
    </w:p>
    <w:p w:rsidR="00000000" w:rsidDel="00000000" w:rsidP="00000000" w:rsidRDefault="00000000" w:rsidRPr="00000000" w14:paraId="000000E4">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Community-owned energy cooperatives align directly with:</w:t>
      </w:r>
    </w:p>
    <w:p w:rsidR="00000000" w:rsidDel="00000000" w:rsidP="00000000" w:rsidRDefault="00000000" w:rsidRPr="00000000" w14:paraId="000000E5">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ERDF investments in renewable infrastructure</w:t>
      </w:r>
    </w:p>
    <w:p w:rsidR="00000000" w:rsidDel="00000000" w:rsidP="00000000" w:rsidRDefault="00000000" w:rsidRPr="00000000" w14:paraId="000000E6">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Just Transition Fund mechanisms</w:t>
      </w:r>
    </w:p>
    <w:p w:rsidR="00000000" w:rsidDel="00000000" w:rsidP="00000000" w:rsidRDefault="00000000" w:rsidRPr="00000000" w14:paraId="000000E7">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Ownership is critical here: structural decarbonization is reinforced when communities own energy assets rather than merely participating in consultation processes.</w:t>
      </w:r>
    </w:p>
    <w:p w:rsidR="00000000" w:rsidDel="00000000" w:rsidP="00000000" w:rsidRDefault="00000000" w:rsidRPr="00000000" w14:paraId="000000E8">
      <w:pPr>
        <w:jc w:val="both"/>
        <w:rPr>
          <w:rFonts w:ascii="Century Gothic" w:cs="Century Gothic" w:eastAsia="Century Gothic" w:hAnsi="Century Gothic"/>
          <w:b w:val="1"/>
          <w:bCs w:val="1"/>
          <w:sz w:val="24"/>
          <w:szCs w:val="24"/>
        </w:rPr>
      </w:pPr>
      <w:r w:rsidDel="00000000" w:rsidR="00000000" w:rsidRPr="00000000">
        <w:rPr>
          <w:rFonts w:ascii="Century Gothic" w:cs="Century Gothic" w:eastAsia="Century Gothic" w:hAnsi="Century Gothic"/>
          <w:b w:val="1"/>
          <w:bCs w:val="1"/>
          <w:sz w:val="24"/>
          <w:szCs w:val="24"/>
          <w:rtl w:val="0"/>
        </w:rPr>
        <w:t xml:space="preserve">Policy Objective 4: A More Social Europe</w:t>
      </w:r>
    </w:p>
    <w:p w:rsidR="00000000" w:rsidDel="00000000" w:rsidP="00000000" w:rsidRDefault="00000000" w:rsidRPr="00000000" w14:paraId="000000E9">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objective supports social inclusion, employment, and skills development.</w:t>
      </w:r>
    </w:p>
    <w:p w:rsidR="00000000" w:rsidDel="00000000" w:rsidP="00000000" w:rsidRDefault="00000000" w:rsidRPr="00000000" w14:paraId="000000EA">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Italian social cooperatives and social enterprises receiving ESF+ support demonstrate how COE models embed employment inclusion structurally.</w:t>
      </w:r>
    </w:p>
    <w:p w:rsidR="00000000" w:rsidDel="00000000" w:rsidP="00000000" w:rsidRDefault="00000000" w:rsidRPr="00000000" w14:paraId="000000EB">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Community-led initiatives funded through ESF+ often focus on capacity-building and activation, representing CLE models.</w:t>
      </w:r>
    </w:p>
    <w:p w:rsidR="00000000" w:rsidDel="00000000" w:rsidP="00000000" w:rsidRDefault="00000000" w:rsidRPr="00000000" w14:paraId="000000EC">
      <w:pPr>
        <w:jc w:val="both"/>
        <w:rPr>
          <w:rFonts w:ascii="Century Gothic" w:cs="Century Gothic" w:eastAsia="Century Gothic" w:hAnsi="Century Gothic"/>
          <w:b w:val="1"/>
          <w:bCs w:val="1"/>
          <w:sz w:val="24"/>
          <w:szCs w:val="24"/>
        </w:rPr>
      </w:pPr>
      <w:r w:rsidDel="00000000" w:rsidR="00000000" w:rsidRPr="00000000">
        <w:rPr>
          <w:rFonts w:ascii="Century Gothic" w:cs="Century Gothic" w:eastAsia="Century Gothic" w:hAnsi="Century Gothic"/>
          <w:b w:val="1"/>
          <w:bCs w:val="1"/>
          <w:sz w:val="24"/>
          <w:szCs w:val="24"/>
          <w:rtl w:val="0"/>
        </w:rPr>
        <w:t xml:space="preserve">Policy Objective 5: A Europe Closer to Citizens</w:t>
      </w:r>
    </w:p>
    <w:p w:rsidR="00000000" w:rsidDel="00000000" w:rsidP="00000000" w:rsidRDefault="00000000" w:rsidRPr="00000000" w14:paraId="000000ED">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objective explicitly promotes:</w:t>
      </w:r>
    </w:p>
    <w:p w:rsidR="00000000" w:rsidDel="00000000" w:rsidP="00000000" w:rsidRDefault="00000000" w:rsidRPr="00000000" w14:paraId="000000EE">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Integrated territorial development</w:t>
      </w:r>
    </w:p>
    <w:p w:rsidR="00000000" w:rsidDel="00000000" w:rsidP="00000000" w:rsidRDefault="00000000" w:rsidRPr="00000000" w14:paraId="000000EF">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Community-led local development (CLLD)</w:t>
      </w:r>
    </w:p>
    <w:p w:rsidR="00000000" w:rsidDel="00000000" w:rsidP="00000000" w:rsidRDefault="00000000" w:rsidRPr="00000000" w14:paraId="000000F0">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Participatory governance</w:t>
      </w:r>
    </w:p>
    <w:p w:rsidR="00000000" w:rsidDel="00000000" w:rsidP="00000000" w:rsidRDefault="00000000" w:rsidRPr="00000000" w14:paraId="000000F1">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CLE aligns strongly with CLLD mechanisms, especially within:</w:t>
      </w:r>
    </w:p>
    <w:p w:rsidR="00000000" w:rsidDel="00000000" w:rsidP="00000000" w:rsidRDefault="00000000" w:rsidRPr="00000000" w14:paraId="000000F2">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LEADER rural development programs</w:t>
      </w:r>
    </w:p>
    <w:p w:rsidR="00000000" w:rsidDel="00000000" w:rsidP="00000000" w:rsidRDefault="00000000" w:rsidRPr="00000000" w14:paraId="000000F3">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European Social Fund Plus (ESF+)</w:t>
      </w:r>
    </w:p>
    <w:p w:rsidR="00000000" w:rsidDel="00000000" w:rsidP="00000000" w:rsidRDefault="00000000" w:rsidRPr="00000000" w14:paraId="000000F4">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European Regional Development Fund (ERDF)</w:t>
      </w:r>
    </w:p>
    <w:p w:rsidR="00000000" w:rsidDel="00000000" w:rsidP="00000000" w:rsidRDefault="00000000" w:rsidRPr="00000000" w14:paraId="000000F5">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However, while CLLD emphasizes participation, it does not always mandate community ownership of resulting assets. Therefore, many EU-funded initiatives qualify as community-led but not necessarily community-owned.</w:t>
      </w:r>
    </w:p>
    <w:p w:rsidR="00000000" w:rsidDel="00000000" w:rsidP="00000000" w:rsidRDefault="00000000" w:rsidRPr="00000000" w14:paraId="000000F6">
      <w:pPr>
        <w:jc w:val="both"/>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F7">
      <w:pPr>
        <w:pStyle w:val="Heading2"/>
        <w:rPr>
          <w:rFonts w:ascii="Century Gothic" w:cs="Century Gothic" w:eastAsia="Century Gothic" w:hAnsi="Century Gothic"/>
        </w:rPr>
      </w:pPr>
      <w:bookmarkStart w:colFirst="0" w:colLast="0" w:name="_heading=h.s5i7ettavll7" w:id="8"/>
      <w:bookmarkEnd w:id="8"/>
      <w:r w:rsidDel="00000000" w:rsidR="00000000" w:rsidRPr="00000000">
        <w:rPr>
          <w:rFonts w:ascii="Century Gothic" w:cs="Century Gothic" w:eastAsia="Century Gothic" w:hAnsi="Century Gothic"/>
          <w:rtl w:val="0"/>
        </w:rPr>
        <w:t xml:space="preserve">3.3 Community Wealth Building and Smart Specialisation</w:t>
      </w:r>
    </w:p>
    <w:p w:rsidR="00000000" w:rsidDel="00000000" w:rsidP="00000000" w:rsidRDefault="00000000" w:rsidRPr="00000000" w14:paraId="000000F8">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Community-owned enterprises align with emerging Community Wealth Building (CWB) strategies promoted in several EU regions (e.g., Scotland, Basque Country).</w:t>
      </w:r>
    </w:p>
    <w:p w:rsidR="00000000" w:rsidDel="00000000" w:rsidP="00000000" w:rsidRDefault="00000000" w:rsidRPr="00000000" w14:paraId="000000F9">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These strategies emphasize:</w:t>
      </w:r>
    </w:p>
    <w:p w:rsidR="00000000" w:rsidDel="00000000" w:rsidP="00000000" w:rsidRDefault="00000000" w:rsidRPr="00000000" w14:paraId="000000FA">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Anchor institutions</w:t>
      </w:r>
    </w:p>
    <w:p w:rsidR="00000000" w:rsidDel="00000000" w:rsidP="00000000" w:rsidRDefault="00000000" w:rsidRPr="00000000" w14:paraId="000000FB">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Local procurement</w:t>
      </w:r>
    </w:p>
    <w:p w:rsidR="00000000" w:rsidDel="00000000" w:rsidP="00000000" w:rsidRDefault="00000000" w:rsidRPr="00000000" w14:paraId="000000FC">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Cooperative development</w:t>
      </w:r>
    </w:p>
    <w:p w:rsidR="00000000" w:rsidDel="00000000" w:rsidP="00000000" w:rsidRDefault="00000000" w:rsidRPr="00000000" w14:paraId="000000FD">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Retention of local multiplier effects</w:t>
      </w:r>
    </w:p>
    <w:p w:rsidR="00000000" w:rsidDel="00000000" w:rsidP="00000000" w:rsidRDefault="00000000" w:rsidRPr="00000000" w14:paraId="000000FE">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Such approaches complement the EU’s Smart Specialisation Strategy (S3), particularly when cooperative ownership supports regionally embedded innovation ecosystems (Foray, 2015).</w:t>
      </w:r>
    </w:p>
    <w:p w:rsidR="00000000" w:rsidDel="00000000" w:rsidP="00000000" w:rsidRDefault="00000000" w:rsidRPr="00000000" w14:paraId="000000FF">
      <w:pPr>
        <w:jc w:val="both"/>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100">
      <w:pPr>
        <w:pStyle w:val="Heading2"/>
        <w:rPr>
          <w:rFonts w:ascii="Century Gothic" w:cs="Century Gothic" w:eastAsia="Century Gothic" w:hAnsi="Century Gothic"/>
        </w:rPr>
      </w:pPr>
      <w:bookmarkStart w:colFirst="0" w:colLast="0" w:name="_heading=h.o0l950q2uev" w:id="9"/>
      <w:bookmarkEnd w:id="9"/>
      <w:r w:rsidDel="00000000" w:rsidR="00000000" w:rsidRPr="00000000">
        <w:rPr>
          <w:rFonts w:ascii="Century Gothic" w:cs="Century Gothic" w:eastAsia="Century Gothic" w:hAnsi="Century Gothic"/>
          <w:rtl w:val="0"/>
        </w:rPr>
        <w:t xml:space="preserve">3.4 Implications for EU Monitoring and Impact Assessment</w:t>
      </w:r>
    </w:p>
    <w:p w:rsidR="00000000" w:rsidDel="00000000" w:rsidP="00000000" w:rsidRDefault="00000000" w:rsidRPr="00000000" w14:paraId="00000101">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If aligned explicitly with SDG indicators and Cohesion Policy metrics:</w:t>
      </w:r>
    </w:p>
    <w:p w:rsidR="00000000" w:rsidDel="00000000" w:rsidP="00000000" w:rsidRDefault="00000000" w:rsidRPr="00000000" w14:paraId="00000102">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CLE should be measured through participation rates, capacity-building indicators, and innovation outputs.</w:t>
      </w:r>
    </w:p>
    <w:p w:rsidR="00000000" w:rsidDel="00000000" w:rsidP="00000000" w:rsidRDefault="00000000" w:rsidRPr="00000000" w14:paraId="00000103">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COE should be measured through asset ownership data, local reinvestment rates, wealth retention metrics, and cooperative capital growth.</w:t>
      </w:r>
    </w:p>
    <w:p w:rsidR="00000000" w:rsidDel="00000000" w:rsidP="00000000" w:rsidRDefault="00000000" w:rsidRPr="00000000" w14:paraId="00000104">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Integrating both dimensions would strengthen EU impact assessment frameworks.</w:t>
      </w:r>
    </w:p>
    <w:p w:rsidR="00000000" w:rsidDel="00000000" w:rsidP="00000000" w:rsidRDefault="00000000" w:rsidRPr="00000000" w14:paraId="00000105">
      <w:pPr>
        <w:rPr>
          <w:rFonts w:ascii="Century Gothic" w:cs="Century Gothic" w:eastAsia="Century Gothic" w:hAnsi="Century Gothic"/>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06">
      <w:pPr>
        <w:pStyle w:val="Heading2"/>
        <w:rPr>
          <w:rFonts w:ascii="Century Gothic" w:cs="Century Gothic" w:eastAsia="Century Gothic" w:hAnsi="Century Gothic"/>
          <w:b w:val="1"/>
          <w:bCs w:val="1"/>
        </w:rPr>
      </w:pPr>
      <w:bookmarkStart w:colFirst="0" w:colLast="0" w:name="_heading=h.ikdfk339v9l7" w:id="10"/>
      <w:bookmarkEnd w:id="10"/>
      <w:r w:rsidDel="00000000" w:rsidR="00000000" w:rsidRPr="00000000">
        <w:rPr>
          <w:rFonts w:ascii="Century Gothic" w:cs="Century Gothic" w:eastAsia="Century Gothic" w:hAnsi="Century Gothic"/>
          <w:b w:val="1"/>
          <w:bCs w:val="1"/>
          <w:rtl w:val="0"/>
        </w:rPr>
        <w:t xml:space="preserve">4.- Global context and contemporary examples</w:t>
      </w:r>
    </w:p>
    <w:p w:rsidR="00000000" w:rsidDel="00000000" w:rsidP="00000000" w:rsidRDefault="00000000" w:rsidRPr="00000000" w14:paraId="00000107">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Community economies are not limited to Europe; they are gaining traction worldwide. In Africa, cooperatives address food security issues, while in Latin America, community-driven development programs strengthen indigenous rights and local economies. In the United States and Canada, worker-owned cooperatives and community land trusts provide affordable housing and employment opportunities. In Europe, countries like Spain, Italy, and the United Kingdom have seen successful models of cooperative businesses, such as the Mondragon Corporation in Spain, which focuses on worker cooperatives, and community-led housing projects in cities like London. These initiatives highlight the potential of community-led economies to tackle economic and social challenges across the globe.</w:t>
      </w:r>
    </w:p>
    <w:p w:rsidR="00000000" w:rsidDel="00000000" w:rsidP="00000000" w:rsidRDefault="00000000" w:rsidRPr="00000000" w14:paraId="00000108">
      <w:pPr>
        <w:jc w:val="both"/>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109">
      <w:pPr>
        <w:pStyle w:val="Heading2"/>
        <w:rPr>
          <w:rFonts w:ascii="Century Gothic" w:cs="Century Gothic" w:eastAsia="Century Gothic" w:hAnsi="Century Gothic"/>
        </w:rPr>
      </w:pPr>
      <w:bookmarkStart w:colFirst="0" w:colLast="0" w:name="_heading=h.rzw7hxl9552" w:id="11"/>
      <w:bookmarkEnd w:id="11"/>
      <w:r w:rsidDel="00000000" w:rsidR="00000000" w:rsidRPr="00000000">
        <w:rPr>
          <w:rFonts w:ascii="Century Gothic" w:cs="Century Gothic" w:eastAsia="Century Gothic" w:hAnsi="Century Gothic"/>
          <w:rtl w:val="0"/>
        </w:rPr>
        <w:t xml:space="preserve">Cases: Successful Examples</w:t>
      </w:r>
    </w:p>
    <w:p w:rsidR="00000000" w:rsidDel="00000000" w:rsidP="00000000" w:rsidRDefault="00000000" w:rsidRPr="00000000" w14:paraId="0000010A">
      <w:pPr>
        <w:pStyle w:val="Heading2"/>
        <w:ind w:left="1095" w:firstLine="0"/>
        <w:jc w:val="both"/>
        <w:rPr>
          <w:rFonts w:ascii="Century Gothic" w:cs="Century Gothic" w:eastAsia="Century Gothic" w:hAnsi="Century Gothic"/>
        </w:rPr>
      </w:pPr>
      <w:bookmarkStart w:colFirst="0" w:colLast="0" w:name="_heading=h.pepa0ldbmqe" w:id="12"/>
      <w:bookmarkEnd w:id="12"/>
      <w:r w:rsidDel="00000000" w:rsidR="00000000" w:rsidRPr="00000000">
        <w:rPr>
          <w:rFonts w:ascii="Century Gothic" w:cs="Century Gothic" w:eastAsia="Century Gothic" w:hAnsi="Century Gothic"/>
          <w:rtl w:val="0"/>
        </w:rPr>
        <w:t xml:space="preserve">4.1 Permaculture Enterprise </w:t>
      </w:r>
    </w:p>
    <w:p w:rsidR="00000000" w:rsidDel="00000000" w:rsidP="00000000" w:rsidRDefault="00000000" w:rsidRPr="00000000" w14:paraId="0000010B">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Permaculture is a design system based on observation of natural systems and rooted in overlapping ethics of ‘earth care’, ‘people care’ and ‘fair shares’ (Burnett 2001; Mollison and Slay 1994). Its core methodology is to apply principles observed to promote self-organisation and resilience in ‘natural’ ecosystems in the deliberate design of social and social-ecological systems (Holmgren 2002). The aim is that these designed systems support people's needs in ways that maximise their ecological value and require minimal ongoing maintenance. This is achieved by deliberately fostering mutually beneficial relationships among elements in the system, maximising alignment between the needs of each and design goals for the system itself. This emphasis on maximising self-generative potentially through appropriate interrelationship makes permaculture an exemplary strategy for promotion of commons ecologies. </w:t>
      </w:r>
    </w:p>
    <w:p w:rsidR="00000000" w:rsidDel="00000000" w:rsidP="00000000" w:rsidRDefault="00000000" w:rsidRPr="00000000" w14:paraId="0000010C">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Permaculture has an inherent connection with the SDGs, at multiple levels (Henfrey &amp; Penha-Lopes 2015). The Permaculture ethics anticipate six ‘essential elements’ of the SDGs identified by former UN Secretary General Ban Ki-moon: dignity, prosperity, justice, partnership, planet and people (Henfrey &amp; Penha-Lopes 2015: 34). Permaculture design offers a tested methodology for creating practical solutions that reflect these ethics. Specific fields of application of permaculture design – and of operation of permaculture enterprises – are diverse, including both material and social applications. They include many areas covered by the SDGs, including food production (SDG2); sustainable livelihoods (SDG1, SDG8), water management (6), land restoration (SDG15), climate change (SDG13), and conflict transformation (SDG16). </w:t>
      </w:r>
    </w:p>
    <w:p w:rsidR="00000000" w:rsidDel="00000000" w:rsidP="00000000" w:rsidRDefault="00000000" w:rsidRPr="00000000" w14:paraId="0000010D">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relationship between Permaculture and enterprise is two-way: enterprise is both an organisational vehicle for permaculture projects and supporting the livelihoods of permaculture practitioners, and one of many fields of application of permaculture design. Permaculture enterprises thus build in, as inherent features, the three core ethics of sustainability, social justice and equity: and, by extension, the essential elements of the SDGs. </w:t>
      </w:r>
    </w:p>
    <w:p w:rsidR="00000000" w:rsidDel="00000000" w:rsidP="00000000" w:rsidRDefault="00000000" w:rsidRPr="00000000" w14:paraId="0000010E">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link between SDG delivery and commons ecologies expressed by permaculture enterprises is captured in the concept of Regenerative Enterprise, in which businesses exist in order to create, and make available for social use, one or more of eight different forms of capital: financial, material, living, social, cultural, experiential, living and spiritual. Businesses in any locality interact as enterprise ecologies, specialising in producing different forms of capital and redistributing these in line with the ‘fair shares’ principle so that, for example, a highly financially productive enterprise might redirect fiscal surpluses to others generative of living, cultural or other capitals (Roland and Landua 2013). Such enterprise ecologies, in line with other commons ecologies, embed ethics conducive to SDG delivery as their essential nature, not a secondary add-on or correction to market pressures. Consistent with these ethics, and favourable to both SDG delivery and working within commons ecologies, the financial motivation of permaculture activists tends to be weak compared with social and environmental concerns (c.f. McMullen and Warnick, 2016). </w:t>
      </w:r>
    </w:p>
    <w:p w:rsidR="00000000" w:rsidDel="00000000" w:rsidP="00000000" w:rsidRDefault="00000000" w:rsidRPr="00000000" w14:paraId="0000010F">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Recent research on permaculture and enterprise shows that permaculture increasingly forms the basis of SSE initiatives that both directly enable SDG implementation and integrate it into broader fields of practice. The ‘Knowledge Exchange for Entrepreneurship in Permaculture’ (KEEP) project, a 2016 research collaboration between Kingston University Business School and the Permaculture Association (Britain), mapped permaculture enterprises in Great Britain using data provided by the Permaculture Association and its 1500 members. From these data over 150 permaculture enterprises were identified. Owner/founders of twenty of these enterprises subsequently took part in interviews, one or two hours in length. </w:t>
      </w:r>
    </w:p>
    <w:p w:rsidR="00000000" w:rsidDel="00000000" w:rsidP="00000000" w:rsidRDefault="00000000" w:rsidRPr="00000000" w14:paraId="00000110">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Results of the KEEP Project show that permaculture enterprises are spread over the whole country, with notably high numbers in Leeds in northern England (where the Permaculture Association’s head office is located), London and Southwest England. They are found in both rural and urban locations, with rural locations over-represented compared to the overall UK population distribution. Three business types predominate: teaching, food growing, and garden design and maintenance. However, permaculture entrepreneurs are also working in fields as diverse as publishing, cosmetics, tourism, IT, jewellery making, community development, holistic therapies, writing and construction. </w:t>
      </w:r>
    </w:p>
    <w:p w:rsidR="00000000" w:rsidDel="00000000" w:rsidP="00000000" w:rsidRDefault="00000000" w:rsidRPr="00000000" w14:paraId="00000111">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survey identified some detailed characteristics of permaculture-inspired enterprises. About one-third of responding businesses were community or social enterprises or charities. These enterprises are durable; more than half of businesses in the survey were in operation for five years or longer and more than a quarter for over ten years. In relation to gender equality and female empowerment (SDG5), nearly half (45%) are owned by women, consistent with relatively high female representation in leadership positions in the UK permaculture movement as a whole (see Henfrey 2014). 25% employed more than one member of the same family. However, in keeping with findings from other research that show low ethnic diversity in many segments of the permaculture movement (Ferguson &amp; Lovell 2015), only two businesses (about 5%) were owned by someone from a minority ethnic background. </w:t>
      </w:r>
    </w:p>
    <w:p w:rsidR="00000000" w:rsidDel="00000000" w:rsidP="00000000" w:rsidRDefault="00000000" w:rsidRPr="00000000" w14:paraId="00000112">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KEEP interviews show that permaculture enterprises may be started up at low cost, thus lowering one barrier – the need for financial capital – which commonly inhibits people from setting up their own firm. Further, those involved in teaching permaculture mainly teach at venues that supply all required equipment, an example of how material capital is shared within a common ecology. The Permaculture Association Britain itself was a source of funding for new enterprises, and some permaculture entrepreneurs were able to access the fiscal and/or material capacity necessary to start their business through ownership of private property, donations of land and/or cash, other paid work or family savings. Those needing external funding obtained it from a variety of sources, including community funding and crowdsourcing (redistribution of financial capital in the commons ecology), government or local authority grants, charities and bank loans. A couple of interviewees reported having received European Union funding, including a three-year Children in Permaculture project supported by an Erasmus+ grant. </w:t>
      </w:r>
    </w:p>
    <w:p w:rsidR="00000000" w:rsidDel="00000000" w:rsidP="00000000" w:rsidRDefault="00000000" w:rsidRPr="00000000" w14:paraId="00000113">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Permaculture generates and distributes cultural, intellectual and experiential capitals through academic and professional qualifications such as the Permaculture Design Certificate and Diploma in Applied Permaculture Design (SDG4). Training for these qualifications emphasises the acquisition and sharing of knowledge for sustainable production and consumption (SDG12) and establishment of sustainable communities (SDG11). Most permaculture entrepreneurs surveyed in the KEEP project reported having taken such courses. </w:t>
      </w:r>
    </w:p>
    <w:p w:rsidR="00000000" w:rsidDel="00000000" w:rsidP="00000000" w:rsidRDefault="00000000" w:rsidRPr="00000000" w14:paraId="00000114">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 relation to social capital, interviewees emphasised the importance of being part of a network of permaculture activists and having representative organisations. The various training courses, gatherings and workshops are sites at which interviewees build the networks through which ideas diffuse and are consolidated (also see Henfrey 2017). They take place in locations across the UK, and interviewees also mentioned international partnerships, such as with an olive oil grower in southern Italy and project collaborators in Sao Paulo and Hong Kong. Network formation and maintenance seem to rely largely on individuals being proactive in organising meetings (e.g. of permaculture teachers) or assuming committee roles with the Permaculture Association or other organisations. Respondents typically work in teams with others in the international permaculture movement – a common phrase used to describe collaboration therein is ‘cooperation not competition’. Through such processes, permaculture has created collaborative partnerships within the movement at local, regional, national and international scales, and played an integral part in establishing international cross-movement networks such as ECOLISE (the European network of community-led Initiatives on sustainability and climate change),1 CASA (the Latin American Council of Sustainable Settlements)2 and the Thriving Resilient Communities Network in the USA3 (SDG17). </w:t>
      </w:r>
    </w:p>
    <w:p w:rsidR="00000000" w:rsidDel="00000000" w:rsidP="00000000" w:rsidRDefault="00000000" w:rsidRPr="00000000" w14:paraId="00000115">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essential elements of the SDGs thus appear to be well served by the application of permaculture design thinking to SSE. Its integration within new enterprises, social organisation and business models enables the generation and sharing of multiple forms of capital. This in turn establishes commons ecologies in many ways better suited than capitalist economies to the realisation of the SDGs.</w:t>
      </w:r>
    </w:p>
    <w:p w:rsidR="00000000" w:rsidDel="00000000" w:rsidP="00000000" w:rsidRDefault="00000000" w:rsidRPr="00000000" w14:paraId="00000116">
      <w:pPr>
        <w:pStyle w:val="Heading2"/>
        <w:ind w:firstLine="720"/>
        <w:rPr>
          <w:rFonts w:ascii="Century Gothic" w:cs="Century Gothic" w:eastAsia="Century Gothic" w:hAnsi="Century Gothic"/>
          <w:b w:val="1"/>
          <w:bCs w:val="1"/>
        </w:rPr>
      </w:pPr>
      <w:bookmarkStart w:colFirst="0" w:colLast="0" w:name="_heading=h.oddwl3f28arj" w:id="13"/>
      <w:bookmarkEnd w:id="13"/>
      <w:r w:rsidDel="00000000" w:rsidR="00000000" w:rsidRPr="00000000">
        <w:rPr>
          <w:rFonts w:ascii="Century Gothic" w:cs="Century Gothic" w:eastAsia="Century Gothic" w:hAnsi="Century Gothic"/>
          <w:rtl w:val="0"/>
        </w:rPr>
        <w:t xml:space="preserve">4.2 Mondragon Corporation</w:t>
      </w:r>
      <w:r w:rsidDel="00000000" w:rsidR="00000000" w:rsidRPr="00000000">
        <w:rPr>
          <w:rtl w:val="0"/>
        </w:rPr>
      </w:r>
    </w:p>
    <w:p w:rsidR="00000000" w:rsidDel="00000000" w:rsidP="00000000" w:rsidRDefault="00000000" w:rsidRPr="00000000" w14:paraId="00000117">
      <w:pPr>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Mondragón Corporation in Spain is one of the world’s largest worker-owned cooperatives, demonstrating how community-based models can achieve large-scale economic success.</w:t>
      </w:r>
    </w:p>
    <w:p w:rsidR="00000000" w:rsidDel="00000000" w:rsidP="00000000" w:rsidRDefault="00000000" w:rsidRPr="00000000" w14:paraId="00000118">
      <w:pPr>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Mondragon Corporation is recognized as a socioeconomic entity inspired by the principles of the cooperative experience, emphasizing democratic methods in organization and management through solidarity. In this context, Forcadell (2005) highlights Mondragon Corporation (MC) as one of the few organizations that can genuinely be seen as a democracy in the modern era. Another core value is participation, reflected in people's engagement and involvement in the management, performance, and ownership of its companies. Additional corporate values include inter-cooperation, grassroots management, education, and social transformation.</w:t>
      </w:r>
    </w:p>
    <w:p w:rsidR="00000000" w:rsidDel="00000000" w:rsidP="00000000" w:rsidRDefault="00000000" w:rsidRPr="00000000" w14:paraId="00000119">
      <w:pPr>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These cooperatives define themselves as business projects created by and for people, guided by principles of equity, self-demand, and co-responsibility. The Basque cooperatives of MC were founded in 1955 when a priest, José María Arizmendiarrieta, and five of his students from a professional school established an industrial cooperative. On April 14, 1956, the foundation stone of ULGOR (later known as FAGOR) was laid, marking the beginning of a deeply entrepreneurial local economic culture.</w:t>
      </w:r>
    </w:p>
    <w:p w:rsidR="00000000" w:rsidDel="00000000" w:rsidP="00000000" w:rsidRDefault="00000000" w:rsidRPr="00000000" w14:paraId="0000011A">
      <w:pPr>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In the early 1960s, MC embarked on a process of domestic expansion, which extended internationally in the 1990s (Flecha &amp; Ngai, 2014). Arizmendiarrieta led this initiative by merging social Catholicism with local identity, presenting an example of a utopian self-managed society (Molina &amp; Miguez, 2008). Now, with over 50 years of history, MC stands as a clear example of how cooperatives, when properly organized, can overcome significant structural barriers and achieve global expansion (Morlà-Folch et al., 2021).</w:t>
      </w:r>
    </w:p>
    <w:p w:rsidR="00000000" w:rsidDel="00000000" w:rsidP="00000000" w:rsidRDefault="00000000" w:rsidRPr="00000000" w14:paraId="0000011B">
      <w:pPr>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In you would like to know more, please visit the website: </w:t>
      </w:r>
      <w:hyperlink r:id="rId63">
        <w:r w:rsidDel="00000000" w:rsidR="00000000" w:rsidRPr="00000000">
          <w:rPr>
            <w:rFonts w:ascii="Century Gothic" w:cs="Century Gothic" w:eastAsia="Century Gothic" w:hAnsi="Century Gothic"/>
            <w:color w:val="0563c1"/>
            <w:u w:val="single"/>
            <w:rtl w:val="0"/>
          </w:rPr>
          <w:t xml:space="preserve">https://www.mondragon-corporation.com/en/</w:t>
        </w:r>
      </w:hyperlink>
      <w:r w:rsidDel="00000000" w:rsidR="00000000" w:rsidRPr="00000000">
        <w:rPr>
          <w:rtl w:val="0"/>
        </w:rPr>
      </w:r>
    </w:p>
    <w:p w:rsidR="00000000" w:rsidDel="00000000" w:rsidP="00000000" w:rsidRDefault="00000000" w:rsidRPr="00000000" w14:paraId="0000011C">
      <w:pPr>
        <w:pStyle w:val="Heading2"/>
        <w:ind w:firstLine="720"/>
        <w:rPr>
          <w:rFonts w:ascii="Century Gothic" w:cs="Century Gothic" w:eastAsia="Century Gothic" w:hAnsi="Century Gothic"/>
        </w:rPr>
      </w:pPr>
      <w:bookmarkStart w:colFirst="0" w:colLast="0" w:name="_heading=h.r34ogufga3wk" w:id="14"/>
      <w:bookmarkEnd w:id="14"/>
      <w:r w:rsidDel="00000000" w:rsidR="00000000" w:rsidRPr="00000000">
        <w:rPr>
          <w:rFonts w:ascii="Century Gothic" w:cs="Century Gothic" w:eastAsia="Century Gothic" w:hAnsi="Century Gothic"/>
          <w:rtl w:val="0"/>
        </w:rPr>
        <w:t xml:space="preserve">4.3 Tamera Ecovillage</w:t>
      </w:r>
    </w:p>
    <w:p w:rsidR="00000000" w:rsidDel="00000000" w:rsidP="00000000" w:rsidRDefault="00000000" w:rsidRPr="00000000" w14:paraId="0000011D">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Tamera is an ecovillage in Southern Portugal that was founded in 1978 and currently has around 200 residents. Tamera developed the "Healing Biotope" model as the result of a deliberate strategy to establish a regional level common ecology that integrates SSE enterprises into self-regenerative economic and ecological circuits of value via strategic promotion of water, energy and food autonomy (SDG16). This happens through ecosystem management strategies based on permaculture (SDG15), use of renewable energy technologies (SDG7) and development of a regional food autonomy network (SDG2) (Esteves, 2017). Tamera residents share water and energy produced within the community’s boundaries and organic food grown either on the community's own land or within an emerging regional food autonomy network based on exchanges between intentional communities and small- and medium-sized organic and biodynamic producers in the region. This is supported by use of permaculture for ecological regeneration, low carbon architecture and use of off-grid renewable energy sources (Esteves, 2017). Tamera started moving towards energy autonomy in 2006 with the creation of Testfield 1 Solar Village, where research in the field of solar energy and biogas is undertaken, assessed and integrated into everyday life (SDG11). Testfield 1 supports experimentation by Sunvention International GmbH, developing and testing an off-grid solar energy system for pumping water, powering greenhouses and processing and storing food, complemented by other experimental technologies like Scheffler mirrors and biogas digesters. The aim is to develop strategies for community living that combine use of these technologies with changing consumption habits to bring them in line with the productive capacity of the regional food autonomy network (SDG12) (Esteves, 2017). According to data from the EU-funded ORIGIN research project, over the course of 2015 Tamera produced 45% of its electricity consumption from onsite renewable resources. Its goal is to achieve complete energy autonomy and self-sufficiency during the following decade. Since 2007 the community has also been moving towards water and food autonomy, developing a regenerative methodology for land management and food production known as a water retention landscape (WRL). A WRL recovers eroded soils for farming through construction of a system of lakes, ponds, terraces and other features that maximise retention of rainwater (Holzer, 2011). In Tamera, WRL supports numerous ecological functions that link SSE to various SDGs: autonomous water supply (SDG6); food production (SDG2); regeneration of topsoil, pasture and forest and local enrichment of biodiversity (SDG15) (Anderson, 2011). Members of Tamera's Ecology Team reported that through this strategy Tamera became self-sufficient in water supply and management in 2009 (Esteves, 2016). External assessment of Tamera's WRL suggests that it can contain or even reverse climate change by increasing the capacity of the soil to return water to the atmosphere through evapotranspiration (SDG13) (Kravick et al., 2008). The activities of the intentional community based at Tamera thus support development of a common ecology at two nested, interdependent levels. Within the community itself it supports radical innovation for sustainable production and consumption in ways basic to residents' lifestyles and livelihoods. In the wider region, by promoting linkages among enterprises in ecologically and economically regenerative circuits of value that support emergence of a regional SSE it spreads those innovations more widely, contributing in significant ways to multiple SDGs.</w:t>
      </w:r>
    </w:p>
    <w:p w:rsidR="00000000" w:rsidDel="00000000" w:rsidP="00000000" w:rsidRDefault="00000000" w:rsidRPr="00000000" w14:paraId="0000011E">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Web: </w:t>
      </w:r>
      <w:hyperlink r:id="rId64">
        <w:r w:rsidDel="00000000" w:rsidR="00000000" w:rsidRPr="00000000">
          <w:rPr>
            <w:rFonts w:ascii="Century Gothic" w:cs="Century Gothic" w:eastAsia="Century Gothic" w:hAnsi="Century Gothic"/>
            <w:color w:val="0563c1"/>
            <w:sz w:val="24"/>
            <w:szCs w:val="24"/>
            <w:u w:val="single"/>
            <w:rtl w:val="0"/>
          </w:rPr>
          <w:t xml:space="preserve">https://www.tamera.org/</w:t>
        </w:r>
      </w:hyperlink>
      <w:r w:rsidDel="00000000" w:rsidR="00000000" w:rsidRPr="00000000">
        <w:rPr>
          <w:rtl w:val="0"/>
        </w:rPr>
      </w:r>
    </w:p>
    <w:p w:rsidR="00000000" w:rsidDel="00000000" w:rsidP="00000000" w:rsidRDefault="00000000" w:rsidRPr="00000000" w14:paraId="0000011F">
      <w:pPr>
        <w:rPr>
          <w:rFonts w:ascii="Century Gothic" w:cs="Century Gothic" w:eastAsia="Century Gothic" w:hAnsi="Century Gothic"/>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20">
      <w:pPr>
        <w:pStyle w:val="Heading2"/>
        <w:rPr>
          <w:rFonts w:ascii="Century Gothic" w:cs="Century Gothic" w:eastAsia="Century Gothic" w:hAnsi="Century Gothic"/>
          <w:b w:val="1"/>
          <w:bCs w:val="1"/>
        </w:rPr>
      </w:pPr>
      <w:bookmarkStart w:colFirst="0" w:colLast="0" w:name="_heading=h.eqknowk2iegl" w:id="15"/>
      <w:bookmarkEnd w:id="15"/>
      <w:r w:rsidDel="00000000" w:rsidR="00000000" w:rsidRPr="00000000">
        <w:rPr>
          <w:rFonts w:ascii="Century Gothic" w:cs="Century Gothic" w:eastAsia="Century Gothic" w:hAnsi="Century Gothic"/>
          <w:b w:val="1"/>
          <w:bCs w:val="1"/>
          <w:rtl w:val="0"/>
        </w:rPr>
        <w:t xml:space="preserve">5.- Core Principles of the Community-led Economy</w:t>
      </w:r>
    </w:p>
    <w:p w:rsidR="00000000" w:rsidDel="00000000" w:rsidP="00000000" w:rsidRDefault="00000000" w:rsidRPr="00000000" w14:paraId="00000121">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community-led economy is based on four fundamental principles: social, environmental, cultural and territorial. Together, these principles form a holistic approach to economic development that goes beyond purely financial considerations.</w:t>
      </w:r>
    </w:p>
    <w:p w:rsidR="00000000" w:rsidDel="00000000" w:rsidP="00000000" w:rsidRDefault="00000000" w:rsidRPr="00000000" w14:paraId="00000122">
      <w:pPr>
        <w:pStyle w:val="Heading2"/>
        <w:numPr>
          <w:ilvl w:val="1"/>
          <w:numId w:val="6"/>
        </w:numPr>
        <w:ind w:left="1095" w:hanging="375"/>
        <w:jc w:val="both"/>
        <w:rPr>
          <w:rFonts w:ascii="Century Gothic" w:cs="Century Gothic" w:eastAsia="Century Gothic" w:hAnsi="Century Gothic"/>
        </w:rPr>
      </w:pPr>
      <w:bookmarkStart w:colFirst="0" w:colLast="0" w:name="_heading=h.o7juq7l1x4gd" w:id="16"/>
      <w:bookmarkEnd w:id="16"/>
      <w:r w:rsidDel="00000000" w:rsidR="00000000" w:rsidRPr="00000000">
        <w:rPr>
          <w:rFonts w:ascii="Century Gothic" w:cs="Century Gothic" w:eastAsia="Century Gothic" w:hAnsi="Century Gothic"/>
          <w:rtl w:val="0"/>
        </w:rPr>
        <w:t xml:space="preserve">Social principles</w:t>
      </w:r>
    </w:p>
    <w:p w:rsidR="00000000" w:rsidDel="00000000" w:rsidP="00000000" w:rsidRDefault="00000000" w:rsidRPr="00000000" w14:paraId="00000123">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social dimension of the community-led economy focuses on addressing societal challenges through inclusion, equality, and cooperation. Unlike traditional businesses that often prioritize profit, community-led enterprises aim to generate social benefits.</w:t>
      </w:r>
    </w:p>
    <w:p w:rsidR="00000000" w:rsidDel="00000000" w:rsidP="00000000" w:rsidRDefault="00000000" w:rsidRPr="00000000" w14:paraId="00000124">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Active participation in decision-making is a central principle. By involving stakeholders at all levels, community-led initiatives ensure that projects align with the specific needs of local communities. This inclusive approach leads to representative economic structures.</w:t>
      </w:r>
    </w:p>
    <w:p w:rsidR="00000000" w:rsidDel="00000000" w:rsidP="00000000" w:rsidRDefault="00000000" w:rsidRPr="00000000" w14:paraId="00000125">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One key social principle is empowering marginalized groups, such as women, youth and disadvantaged populations. A great example from Belgium is </w:t>
      </w:r>
      <w:hyperlink r:id="rId65">
        <w:r w:rsidDel="00000000" w:rsidR="00000000" w:rsidRPr="00000000">
          <w:rPr>
            <w:rFonts w:ascii="Century Gothic" w:cs="Century Gothic" w:eastAsia="Century Gothic" w:hAnsi="Century Gothic"/>
            <w:color w:val="0563c1"/>
            <w:sz w:val="24"/>
            <w:szCs w:val="24"/>
            <w:u w:val="single"/>
            <w:rtl w:val="0"/>
          </w:rPr>
          <w:t xml:space="preserve">Oxfam Wereldwinkels</w:t>
        </w:r>
      </w:hyperlink>
      <w:r w:rsidDel="00000000" w:rsidR="00000000" w:rsidRPr="00000000">
        <w:rPr>
          <w:rFonts w:ascii="Century Gothic" w:cs="Century Gothic" w:eastAsia="Century Gothic" w:hAnsi="Century Gothic"/>
          <w:sz w:val="24"/>
          <w:szCs w:val="24"/>
          <w:rtl w:val="0"/>
        </w:rPr>
        <w:t xml:space="preserve">, a network of fair-trade shops across Belgium, which ensures fair wages for producers in the Global South while promoting solidarity and global equality. Their model empowers local communities to take action on social issues, from poverty alleviation to climate change. </w:t>
      </w:r>
    </w:p>
    <w:p w:rsidR="00000000" w:rsidDel="00000000" w:rsidP="00000000" w:rsidRDefault="00000000" w:rsidRPr="00000000" w14:paraId="00000126">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Moreover, community-led enterprises encourage collaboration between businesses, institutions and communities to foster innovative solutions to challenges like poverty, unemployment, and educational inequality. For example, the </w:t>
      </w:r>
      <w:hyperlink r:id="rId66">
        <w:r w:rsidDel="00000000" w:rsidR="00000000" w:rsidRPr="00000000">
          <w:rPr>
            <w:rFonts w:ascii="Century Gothic" w:cs="Century Gothic" w:eastAsia="Century Gothic" w:hAnsi="Century Gothic"/>
            <w:color w:val="0563c1"/>
            <w:sz w:val="24"/>
            <w:szCs w:val="24"/>
            <w:u w:val="single"/>
            <w:rtl w:val="0"/>
          </w:rPr>
          <w:t xml:space="preserve">Réseau des AMAP</w:t>
        </w:r>
      </w:hyperlink>
      <w:r w:rsidDel="00000000" w:rsidR="00000000" w:rsidRPr="00000000">
        <w:rPr>
          <w:rFonts w:ascii="Century Gothic" w:cs="Century Gothic" w:eastAsia="Century Gothic" w:hAnsi="Century Gothic"/>
          <w:sz w:val="24"/>
          <w:szCs w:val="24"/>
          <w:rtl w:val="0"/>
        </w:rPr>
        <w:t xml:space="preserve"> (Association for the Maintenance of Peasant Agriculture) in France fosters direct connections between local farmers and consumers, providing a sustainable livelihood for rural producers while reducing food insecurity in urban areas.</w:t>
      </w:r>
    </w:p>
    <w:p w:rsidR="00000000" w:rsidDel="00000000" w:rsidP="00000000" w:rsidRDefault="00000000" w:rsidRPr="00000000" w14:paraId="00000127">
      <w:pPr>
        <w:jc w:val="both"/>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128">
      <w:pPr>
        <w:pStyle w:val="Heading2"/>
        <w:numPr>
          <w:ilvl w:val="1"/>
          <w:numId w:val="6"/>
        </w:numPr>
        <w:ind w:left="1095" w:hanging="375"/>
        <w:jc w:val="both"/>
        <w:rPr>
          <w:rFonts w:ascii="Century Gothic" w:cs="Century Gothic" w:eastAsia="Century Gothic" w:hAnsi="Century Gothic"/>
        </w:rPr>
      </w:pPr>
      <w:bookmarkStart w:colFirst="0" w:colLast="0" w:name="_heading=h.vrycan8znpp7" w:id="17"/>
      <w:bookmarkEnd w:id="17"/>
      <w:r w:rsidDel="00000000" w:rsidR="00000000" w:rsidRPr="00000000">
        <w:rPr>
          <w:rFonts w:ascii="Century Gothic" w:cs="Century Gothic" w:eastAsia="Century Gothic" w:hAnsi="Century Gothic"/>
          <w:b w:val="1"/>
          <w:bCs w:val="1"/>
          <w:rtl w:val="0"/>
        </w:rPr>
        <w:t xml:space="preserve"> </w:t>
      </w:r>
      <w:r w:rsidDel="00000000" w:rsidR="00000000" w:rsidRPr="00000000">
        <w:rPr>
          <w:rFonts w:ascii="Century Gothic" w:cs="Century Gothic" w:eastAsia="Century Gothic" w:hAnsi="Century Gothic"/>
          <w:rtl w:val="0"/>
        </w:rPr>
        <w:t xml:space="preserve">Environmental principles</w:t>
      </w:r>
    </w:p>
    <w:p w:rsidR="00000000" w:rsidDel="00000000" w:rsidP="00000000" w:rsidRDefault="00000000" w:rsidRPr="00000000" w14:paraId="00000129">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community-led economy places a strong emphasis on sustainability and environmental responsibility. Businesses under this model prioritize long-term ecological resilience through the adoption of sustainable practices.</w:t>
      </w:r>
    </w:p>
    <w:p w:rsidR="00000000" w:rsidDel="00000000" w:rsidP="00000000" w:rsidRDefault="00000000" w:rsidRPr="00000000" w14:paraId="0000012A">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 core environmental principle is the reduction of resource consumption and the promotion of renewable energy. For example, </w:t>
      </w:r>
      <w:hyperlink r:id="rId67">
        <w:r w:rsidDel="00000000" w:rsidR="00000000" w:rsidRPr="00000000">
          <w:rPr>
            <w:rFonts w:ascii="Century Gothic" w:cs="Century Gothic" w:eastAsia="Century Gothic" w:hAnsi="Century Gothic"/>
            <w:color w:val="0563c1"/>
            <w:sz w:val="24"/>
            <w:szCs w:val="24"/>
            <w:u w:val="single"/>
            <w:rtl w:val="0"/>
          </w:rPr>
          <w:t xml:space="preserve">Energy Cities</w:t>
        </w:r>
      </w:hyperlink>
      <w:r w:rsidDel="00000000" w:rsidR="00000000" w:rsidRPr="00000000">
        <w:rPr>
          <w:rFonts w:ascii="Century Gothic" w:cs="Century Gothic" w:eastAsia="Century Gothic" w:hAnsi="Century Gothic"/>
          <w:sz w:val="24"/>
          <w:szCs w:val="24"/>
          <w:rtl w:val="0"/>
        </w:rPr>
        <w:t xml:space="preserve">, a European network of local governments promoting energy efficiency and renewable energy, works with municipalities to develop local, sustainable energy solutions. </w:t>
      </w:r>
    </w:p>
    <w:p w:rsidR="00000000" w:rsidDel="00000000" w:rsidP="00000000" w:rsidRDefault="00000000" w:rsidRPr="00000000" w14:paraId="0000012B">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community-led economy also focuses on developing environmentally friendly products and services that meet local needs. One of the most successful European examples of environmental principles is </w:t>
      </w:r>
      <w:hyperlink r:id="rId68">
        <w:r w:rsidDel="00000000" w:rsidR="00000000" w:rsidRPr="00000000">
          <w:rPr>
            <w:rFonts w:ascii="Century Gothic" w:cs="Century Gothic" w:eastAsia="Century Gothic" w:hAnsi="Century Gothic"/>
            <w:color w:val="0563c1"/>
            <w:sz w:val="24"/>
            <w:szCs w:val="24"/>
            <w:u w:val="single"/>
            <w:rtl w:val="0"/>
          </w:rPr>
          <w:t xml:space="preserve">CSA</w:t>
        </w:r>
      </w:hyperlink>
      <w:r w:rsidDel="00000000" w:rsidR="00000000" w:rsidRPr="00000000">
        <w:rPr>
          <w:rFonts w:ascii="Century Gothic" w:cs="Century Gothic" w:eastAsia="Century Gothic" w:hAnsi="Century Gothic"/>
          <w:sz w:val="24"/>
          <w:szCs w:val="24"/>
          <w:rtl w:val="0"/>
        </w:rPr>
        <w:t xml:space="preserve"> (Community-Supported Agriculture) programs.</w:t>
      </w:r>
    </w:p>
    <w:p w:rsidR="00000000" w:rsidDel="00000000" w:rsidP="00000000" w:rsidRDefault="00000000" w:rsidRPr="00000000" w14:paraId="0000012C">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12D">
      <w:pPr>
        <w:pStyle w:val="Heading2"/>
        <w:numPr>
          <w:ilvl w:val="1"/>
          <w:numId w:val="6"/>
        </w:numPr>
        <w:ind w:left="1095" w:hanging="375"/>
        <w:rPr>
          <w:rFonts w:ascii="Century Gothic" w:cs="Century Gothic" w:eastAsia="Century Gothic" w:hAnsi="Century Gothic"/>
        </w:rPr>
      </w:pPr>
      <w:bookmarkStart w:colFirst="0" w:colLast="0" w:name="_heading=h.c7ql23sivapc" w:id="18"/>
      <w:bookmarkEnd w:id="18"/>
      <w:r w:rsidDel="00000000" w:rsidR="00000000" w:rsidRPr="00000000">
        <w:rPr>
          <w:rFonts w:ascii="Century Gothic" w:cs="Century Gothic" w:eastAsia="Century Gothic" w:hAnsi="Century Gothic"/>
          <w:b w:val="1"/>
          <w:bCs w:val="1"/>
          <w:rtl w:val="0"/>
        </w:rPr>
        <w:t xml:space="preserve"> </w:t>
      </w:r>
      <w:r w:rsidDel="00000000" w:rsidR="00000000" w:rsidRPr="00000000">
        <w:rPr>
          <w:rFonts w:ascii="Century Gothic" w:cs="Century Gothic" w:eastAsia="Century Gothic" w:hAnsi="Century Gothic"/>
          <w:rtl w:val="0"/>
        </w:rPr>
        <w:t xml:space="preserve">Cultural principles</w:t>
      </w:r>
    </w:p>
    <w:p w:rsidR="00000000" w:rsidDel="00000000" w:rsidP="00000000" w:rsidRDefault="00000000" w:rsidRPr="00000000" w14:paraId="0000012E">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cultural dimension of the community-led economy focuses on preserving and promoting local heritage, traditions, and identities. By integrating cultural values into their practices, community-led enterprises contribute to regional identities and a stronger social fabric.</w:t>
      </w:r>
    </w:p>
    <w:p w:rsidR="00000000" w:rsidDel="00000000" w:rsidP="00000000" w:rsidRDefault="00000000" w:rsidRPr="00000000" w14:paraId="0000012F">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 key cultural principle is the protection of local traditions, languages and crafts. The </w:t>
      </w:r>
      <w:hyperlink r:id="rId69">
        <w:r w:rsidDel="00000000" w:rsidR="00000000" w:rsidRPr="00000000">
          <w:rPr>
            <w:rFonts w:ascii="Century Gothic" w:cs="Century Gothic" w:eastAsia="Century Gothic" w:hAnsi="Century Gothic"/>
            <w:color w:val="0563c1"/>
            <w:sz w:val="24"/>
            <w:szCs w:val="24"/>
            <w:u w:val="single"/>
            <w:rtl w:val="0"/>
          </w:rPr>
          <w:t xml:space="preserve">Cultural Heritage Agency of the Netherlands</w:t>
        </w:r>
      </w:hyperlink>
      <w:r w:rsidDel="00000000" w:rsidR="00000000" w:rsidRPr="00000000">
        <w:rPr>
          <w:rFonts w:ascii="Century Gothic" w:cs="Century Gothic" w:eastAsia="Century Gothic" w:hAnsi="Century Gothic"/>
          <w:sz w:val="24"/>
          <w:szCs w:val="24"/>
          <w:rtl w:val="0"/>
        </w:rPr>
        <w:t xml:space="preserve"> supports initiatives that celebrate regional craftsmanship and arts, helping preserve cultural identity while promoting economic sustainability. </w:t>
      </w:r>
    </w:p>
    <w:p w:rsidR="00000000" w:rsidDel="00000000" w:rsidP="00000000" w:rsidRDefault="00000000" w:rsidRPr="00000000" w14:paraId="00000130">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Community-led initiatives also facilitate intergenerational knowledge exchange. For instance, the </w:t>
      </w:r>
      <w:hyperlink r:id="rId70">
        <w:r w:rsidDel="00000000" w:rsidR="00000000" w:rsidRPr="00000000">
          <w:rPr>
            <w:rFonts w:ascii="Century Gothic" w:cs="Century Gothic" w:eastAsia="Century Gothic" w:hAnsi="Century Gothic"/>
            <w:color w:val="0563c1"/>
            <w:sz w:val="24"/>
            <w:szCs w:val="24"/>
            <w:u w:val="single"/>
            <w:rtl w:val="0"/>
          </w:rPr>
          <w:t xml:space="preserve">Belfast Community Arts Initiative</w:t>
        </w:r>
      </w:hyperlink>
      <w:r w:rsidDel="00000000" w:rsidR="00000000" w:rsidRPr="00000000">
        <w:rPr>
          <w:rFonts w:ascii="Century Gothic" w:cs="Century Gothic" w:eastAsia="Century Gothic" w:hAnsi="Century Gothic"/>
          <w:sz w:val="24"/>
          <w:szCs w:val="24"/>
          <w:rtl w:val="0"/>
        </w:rPr>
        <w:t xml:space="preserve"> in Northern Ireland creates opportunities for older generations to pass on their artistic skills to younger people, enriching both communities and their economies. </w:t>
      </w:r>
    </w:p>
    <w:p w:rsidR="00000000" w:rsidDel="00000000" w:rsidP="00000000" w:rsidRDefault="00000000" w:rsidRPr="00000000" w14:paraId="00000131">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Supporting cultural expression through artistic projects, festivals, and other creative ventures is another important aspect. Such activities not only strengthen the sense of community, but also attract tourism and investment.</w:t>
      </w:r>
    </w:p>
    <w:p w:rsidR="00000000" w:rsidDel="00000000" w:rsidP="00000000" w:rsidRDefault="00000000" w:rsidRPr="00000000" w14:paraId="00000132">
      <w:pPr>
        <w:jc w:val="both"/>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133">
      <w:pPr>
        <w:pStyle w:val="Heading2"/>
        <w:numPr>
          <w:ilvl w:val="1"/>
          <w:numId w:val="6"/>
        </w:numPr>
        <w:ind w:left="1095" w:hanging="375"/>
        <w:rPr>
          <w:rFonts w:ascii="Century Gothic" w:cs="Century Gothic" w:eastAsia="Century Gothic" w:hAnsi="Century Gothic"/>
        </w:rPr>
      </w:pPr>
      <w:bookmarkStart w:colFirst="0" w:colLast="0" w:name="_heading=h.yhuq3me4993p" w:id="19"/>
      <w:bookmarkEnd w:id="19"/>
      <w:r w:rsidDel="00000000" w:rsidR="00000000" w:rsidRPr="00000000">
        <w:rPr>
          <w:rFonts w:ascii="Century Gothic" w:cs="Century Gothic" w:eastAsia="Century Gothic" w:hAnsi="Century Gothic"/>
          <w:b w:val="1"/>
          <w:bCs w:val="1"/>
          <w:rtl w:val="0"/>
        </w:rPr>
        <w:t xml:space="preserve"> </w:t>
      </w:r>
      <w:r w:rsidDel="00000000" w:rsidR="00000000" w:rsidRPr="00000000">
        <w:rPr>
          <w:rFonts w:ascii="Century Gothic" w:cs="Century Gothic" w:eastAsia="Century Gothic" w:hAnsi="Century Gothic"/>
          <w:rtl w:val="0"/>
        </w:rPr>
        <w:t xml:space="preserve">Territorial principles</w:t>
      </w:r>
    </w:p>
    <w:p w:rsidR="00000000" w:rsidDel="00000000" w:rsidP="00000000" w:rsidRDefault="00000000" w:rsidRPr="00000000" w14:paraId="00000134">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territorial dimension of the community-led economy focuses on addressing local challenges and ensuring balanced regional development. Unlike centralized economies, the community-led economy enables local communities to design and implement economic strategies tailored to their unique context.</w:t>
      </w:r>
    </w:p>
    <w:p w:rsidR="00000000" w:rsidDel="00000000" w:rsidP="00000000" w:rsidRDefault="00000000" w:rsidRPr="00000000" w14:paraId="00000135">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 core principle is being anchored in the regions they serve. This ensures that economic benefits remain within the community rather than flowing to external stakeholders. The community-led economy also focuses on reducing economic disparities between urban and rural areas. </w:t>
      </w:r>
      <w:hyperlink r:id="rId71">
        <w:r w:rsidDel="00000000" w:rsidR="00000000" w:rsidRPr="00000000">
          <w:rPr>
            <w:rFonts w:ascii="Century Gothic" w:cs="Century Gothic" w:eastAsia="Century Gothic" w:hAnsi="Century Gothic"/>
            <w:color w:val="0563c1"/>
            <w:sz w:val="24"/>
            <w:szCs w:val="24"/>
            <w:u w:val="single"/>
            <w:rtl w:val="0"/>
          </w:rPr>
          <w:t xml:space="preserve">Les Tanneurs</w:t>
        </w:r>
      </w:hyperlink>
      <w:r w:rsidDel="00000000" w:rsidR="00000000" w:rsidRPr="00000000">
        <w:rPr>
          <w:rFonts w:ascii="Century Gothic" w:cs="Century Gothic" w:eastAsia="Century Gothic" w:hAnsi="Century Gothic"/>
          <w:sz w:val="24"/>
          <w:szCs w:val="24"/>
          <w:rtl w:val="0"/>
        </w:rPr>
        <w:t xml:space="preserve">, a cooperative in Liège, Belgium, is a great example of how local businesses can revitalize urban areas and offer job opportunities while promoting sustainable practices. Les Tanneurs. In addition, many of Europe’s rural regions have been revitalized through community-led enterprises. </w:t>
      </w:r>
    </w:p>
    <w:p w:rsidR="00000000" w:rsidDel="00000000" w:rsidP="00000000" w:rsidRDefault="00000000" w:rsidRPr="00000000" w14:paraId="00000136">
      <w:pPr>
        <w:jc w:val="both"/>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In conclusion, the community-led economy in Europe illustrates a powerful model for local empowerment, sustainability, and social innovation, with numerous initiatives driving change across the continent. These examples show the potential for communities to thrive by embracing social, environmental, cultural, and territorial principles.</w:t>
      </w:r>
    </w:p>
    <w:p w:rsidR="00000000" w:rsidDel="00000000" w:rsidP="00000000" w:rsidRDefault="00000000" w:rsidRPr="00000000" w14:paraId="00000137">
      <w:pPr>
        <w:rPr>
          <w:rFonts w:ascii="Century Gothic" w:cs="Century Gothic" w:eastAsia="Century Gothic" w:hAnsi="Century Gothic"/>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38">
      <w:pPr>
        <w:pStyle w:val="Heading2"/>
        <w:rPr>
          <w:rFonts w:ascii="Century Gothic" w:cs="Century Gothic" w:eastAsia="Century Gothic" w:hAnsi="Century Gothic"/>
          <w:b w:val="1"/>
          <w:bCs w:val="1"/>
        </w:rPr>
      </w:pPr>
      <w:bookmarkStart w:colFirst="0" w:colLast="0" w:name="_heading=h.grdf4l2wq669" w:id="20"/>
      <w:bookmarkEnd w:id="20"/>
      <w:r w:rsidDel="00000000" w:rsidR="00000000" w:rsidRPr="00000000">
        <w:rPr>
          <w:rFonts w:ascii="Century Gothic" w:cs="Century Gothic" w:eastAsia="Century Gothic" w:hAnsi="Century Gothic"/>
          <w:b w:val="1"/>
          <w:bCs w:val="1"/>
          <w:rtl w:val="0"/>
        </w:rPr>
        <w:t xml:space="preserve">6.- References</w:t>
      </w:r>
    </w:p>
    <w:p w:rsidR="00000000" w:rsidDel="00000000" w:rsidP="00000000" w:rsidRDefault="00000000" w:rsidRPr="00000000" w14:paraId="00000139">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Avelino, F., Wittmayer, J., &amp; Gilsing, V. (2019). Translocal empowerment in transformative social innovation networks. European Planning Studies, 28(5), 955–973. https://doi.org/10.1080/09654313.2019.1578339</w:t>
      </w:r>
    </w:p>
    <w:p w:rsidR="00000000" w:rsidDel="00000000" w:rsidP="00000000" w:rsidRDefault="00000000" w:rsidRPr="00000000" w14:paraId="0000013A">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Bacigalupo, M., Kampylis, P., Punie, Y., Van den Brande, G. (2016). EntreComp: The Entrepreneurship Competence Framework. Luxembourg: Publication Office of the European Union. https://doi.org/10.2791/593884 </w:t>
      </w:r>
    </w:p>
    <w:p w:rsidR="00000000" w:rsidDel="00000000" w:rsidP="00000000" w:rsidRDefault="00000000" w:rsidRPr="00000000" w14:paraId="0000013B">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Demozzi, M., &amp; Zandonai, F. (2008). Sviluppo e cambiamento organizzativo nell’impresa sociale. Impresa Sociale, 1(77).</w:t>
      </w:r>
    </w:p>
    <w:p w:rsidR="00000000" w:rsidDel="00000000" w:rsidP="00000000" w:rsidRDefault="00000000" w:rsidRPr="00000000" w14:paraId="0000013C">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Dinnie, E., &amp; Fischer, A. (2020). The Trouble with Community: How ‘Sense of Community’ Influences Participation in Formal, Community</w:t>
      </w:r>
      <w:r w:rsidDel="00000000" w:rsidR="00000000" w:rsidRPr="00000000">
        <w:rPr>
          <w:rFonts w:ascii="Cambria Math" w:cs="Cambria Math" w:eastAsia="Cambria Math" w:hAnsi="Cambria Math"/>
          <w:color w:val="000000"/>
          <w:sz w:val="24"/>
          <w:szCs w:val="24"/>
          <w:rtl w:val="0"/>
        </w:rPr>
        <w:t xml:space="preserve">‐</w:t>
      </w:r>
      <w:r w:rsidDel="00000000" w:rsidR="00000000" w:rsidRPr="00000000">
        <w:rPr>
          <w:rFonts w:ascii="Century Gothic" w:cs="Century Gothic" w:eastAsia="Century Gothic" w:hAnsi="Century Gothic"/>
          <w:color w:val="000000"/>
          <w:sz w:val="24"/>
          <w:szCs w:val="24"/>
          <w:rtl w:val="0"/>
        </w:rPr>
        <w:t xml:space="preserve">Led Organisations and Rural Governance. Sociologia Ruralis, 60(1), 243–259. https://doi.org/10.1111/soru.12273</w:t>
      </w:r>
    </w:p>
    <w:p w:rsidR="00000000" w:rsidDel="00000000" w:rsidP="00000000" w:rsidRDefault="00000000" w:rsidRPr="00000000" w14:paraId="0000013D">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Ecolise. (2021). Community-led initiatives and the Sustainable Development Goals. Retrieved from https://wiki.ecolise.eu/index.php/Community-led_initiatives_and_the_Sustainable_Development_Goals</w:t>
      </w:r>
    </w:p>
    <w:p w:rsidR="00000000" w:rsidDel="00000000" w:rsidP="00000000" w:rsidRDefault="00000000" w:rsidRPr="00000000" w14:paraId="0000013E">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Esteves, A. M., Cummings, S., &amp; Barlow, C. (2021). Sustainable entrepreneurship and the Sustainable Development Goals: Community-led initiatives, the social solidarity economy and commons ecologies. Business Strategy and the Environment, 30(3), 1423–1435. https://doi.org/10.1002/bse.2706</w:t>
      </w:r>
    </w:p>
    <w:p w:rsidR="00000000" w:rsidDel="00000000" w:rsidP="00000000" w:rsidRDefault="00000000" w:rsidRPr="00000000" w14:paraId="0000013F">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European Commission. (2019). The European Green Deal. European Commission.</w:t>
      </w:r>
    </w:p>
    <w:p w:rsidR="00000000" w:rsidDel="00000000" w:rsidP="00000000" w:rsidRDefault="00000000" w:rsidRPr="00000000" w14:paraId="00000140">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European Commission. (2020). The Social Economy in the European Union. Retrieved from https://ec.europa.eu/social/main.jsp?catId=738&amp;langId=en&amp;pubId=8273 </w:t>
      </w:r>
    </w:p>
    <w:p w:rsidR="00000000" w:rsidDel="00000000" w:rsidP="00000000" w:rsidRDefault="00000000" w:rsidRPr="00000000" w14:paraId="00000141">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European Commission. (2021). Cohesion policy 2021–2027. Publications Office of the European Union.</w:t>
      </w:r>
    </w:p>
    <w:p w:rsidR="00000000" w:rsidDel="00000000" w:rsidP="00000000" w:rsidRDefault="00000000" w:rsidRPr="00000000" w14:paraId="00000142">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European Network for Rural Development. (2016). LEADER Local Development Strategies (LDS): Guidance on design and implementation. https://ec.europa.eu/enrd/sites/default/files/enrd-guidance_lds.pdf </w:t>
      </w:r>
    </w:p>
    <w:p w:rsidR="00000000" w:rsidDel="00000000" w:rsidP="00000000" w:rsidRDefault="00000000" w:rsidRPr="00000000" w14:paraId="00000143">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Foray, D. (2015). Smart Specialisation: Opportunities and challenges for regional innovation policy. Ed. Routledge.</w:t>
      </w:r>
    </w:p>
    <w:p w:rsidR="00000000" w:rsidDel="00000000" w:rsidP="00000000" w:rsidRDefault="00000000" w:rsidRPr="00000000" w14:paraId="00000144">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Haugh, H. (2007). Community-led social venture creation. Entrepreneurship Theory and Practice, 31(2), 161–182. https://doi.org/10.1111/j.1540-6520.2007.00168.x</w:t>
      </w:r>
    </w:p>
    <w:p w:rsidR="00000000" w:rsidDel="00000000" w:rsidP="00000000" w:rsidRDefault="00000000" w:rsidRPr="00000000" w14:paraId="00000145">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Henfrey, T., Avelino, F., &amp; Longhurst, N. (2022). Rethinking the Sustainable Development Goals: Learning with and from community-led initiatives. Sustainable Development, 31(2), 211–222. https://doi.org/10.1002/sd.2384</w:t>
      </w:r>
    </w:p>
    <w:p w:rsidR="00000000" w:rsidDel="00000000" w:rsidP="00000000" w:rsidRDefault="00000000" w:rsidRPr="00000000" w14:paraId="00000146">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Houghton, R., &amp; D'Auria, M. (2021). Community-led initiatives and the social solidarity economy: Commons ecologies for delivering and re-imagining the Sustainable Development Goals. SSE Knowledge Hub for the SDGs. Retrieved from https://knowledgehub.unsse.org/knowledge-hub/community-led-initiatives-and-the-social-solidarity-economy-commons-ecologies-for-delivering-and-re-imagining-the-sustainable-development-goals/</w:t>
      </w:r>
    </w:p>
    <w:p w:rsidR="00000000" w:rsidDel="00000000" w:rsidP="00000000" w:rsidRDefault="00000000" w:rsidRPr="00000000" w14:paraId="00000147">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Morlà-Folch, T., Aubert Simon, A., de Freitas, A. B., &amp; Hernández-Lara, A. B. (2021). The Mondragon Case: Companies Addressing Social Impact and Dialogic Methodologies. International Journal of Qualitative Methods, 20. https://doi.org/10.1177/16094069211058614</w:t>
      </w:r>
    </w:p>
    <w:p w:rsidR="00000000" w:rsidDel="00000000" w:rsidP="00000000" w:rsidRDefault="00000000" w:rsidRPr="00000000" w14:paraId="00000148">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OECD. (2019). Social economy and the future of employment and entrepreneurship. OECD Publishing.</w:t>
      </w:r>
    </w:p>
    <w:p w:rsidR="00000000" w:rsidDel="00000000" w:rsidP="00000000" w:rsidRDefault="00000000" w:rsidRPr="00000000" w14:paraId="00000149">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Penha-Lopes, G., Henfrey, T., Pocock, I., Esteves, A., Creed, E., Campos, I., ... &amp; Pereira, A. (2019). ECOLISE Status Report 2019-Reshaping the Future: How local communities are catalysing social, economic and ecological transformation in Europe.</w:t>
      </w:r>
    </w:p>
    <w:p w:rsidR="00000000" w:rsidDel="00000000" w:rsidP="00000000" w:rsidRDefault="00000000" w:rsidRPr="00000000" w14:paraId="0000014A">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Peredo, A. M., &amp; Chrisman, J. J. (2006). Toward a theory of community-based enterprise. Academy of Management Review, 31(2), 309–328. https://doi.org/10.5465/amr.2006.20208683</w:t>
      </w:r>
    </w:p>
    <w:p w:rsidR="00000000" w:rsidDel="00000000" w:rsidP="00000000" w:rsidRDefault="00000000" w:rsidRPr="00000000" w14:paraId="0000014B">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Ridley-Duff, R., &amp; Bull, M. (2016). Understanding social enterprise: Theory and practice (2nd ed.). Sage.</w:t>
      </w:r>
    </w:p>
    <w:p w:rsidR="00000000" w:rsidDel="00000000" w:rsidP="00000000" w:rsidRDefault="00000000" w:rsidRPr="00000000" w14:paraId="0000014C">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Sforzi, J., &amp; Bianchi, M. (2020). Fostering social capital: the case of community-owned pubs. Social Enterprise Journal, 16(3), 281–297. https://doi.org/10.1108/SEJ-07-2019-0050</w:t>
      </w:r>
    </w:p>
    <w:p w:rsidR="00000000" w:rsidDel="00000000" w:rsidP="00000000" w:rsidRDefault="00000000" w:rsidRPr="00000000" w14:paraId="0000014D">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Smith, A., Fressoli, M., &amp; Thomas, H. (2014). Grassroots innovation movements: Challenges and contributions. Journal of Cleaner Production, 63, 114–124. https://doi.org/10.1016/j.jclepro.2012.12.025 </w:t>
      </w:r>
    </w:p>
    <w:p w:rsidR="00000000" w:rsidDel="00000000" w:rsidP="00000000" w:rsidRDefault="00000000" w:rsidRPr="00000000" w14:paraId="0000014E">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Somerville, P., &amp; McElwee, G. (2011). Situating community enterprise: A theoretical exploration. Entrepreneurship &amp; Regional Development, 23(5–6), 317–330. https://doi.org/10.1080/08985626.2011.580161</w:t>
      </w:r>
    </w:p>
    <w:p w:rsidR="00000000" w:rsidDel="00000000" w:rsidP="00000000" w:rsidRDefault="00000000" w:rsidRPr="00000000" w14:paraId="0000014F">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Tan, D. T., Kwan, A., &amp; Leung, J. (2019). Systems approach for localising the SDGs: Co-production of place-based case studies. Globalization and Health, 15(1), Article 14. https://doi.org/10.1186/s12992-019-0527-1</w:t>
      </w:r>
    </w:p>
    <w:p w:rsidR="00000000" w:rsidDel="00000000" w:rsidP="00000000" w:rsidRDefault="00000000" w:rsidRPr="00000000" w14:paraId="00000150">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Tiwari, A. (2023, November 7). Community-led initiatives: Shaping sustainable futures from the ground up. LinkedIn. https://www.linkedin.com/pulse/community-led-initiatives-shaping-sustainable-futures-tiwari-oggef/</w:t>
      </w:r>
    </w:p>
    <w:p w:rsidR="00000000" w:rsidDel="00000000" w:rsidP="00000000" w:rsidRDefault="00000000" w:rsidRPr="00000000" w14:paraId="00000151">
      <w:pPr>
        <w:spacing w:after="0" w:line="360" w:lineRule="auto"/>
        <w:ind w:left="720" w:hanging="720"/>
        <w:jc w:val="both"/>
        <w:rPr>
          <w:rFonts w:ascii="Century Gothic" w:cs="Century Gothic" w:eastAsia="Century Gothic" w:hAnsi="Century Gothic"/>
          <w:color w:val="000000"/>
          <w:sz w:val="24"/>
          <w:szCs w:val="24"/>
        </w:rPr>
      </w:pPr>
      <w:r w:rsidDel="00000000" w:rsidR="00000000" w:rsidRPr="00000000">
        <w:rPr>
          <w:rFonts w:ascii="Century Gothic" w:cs="Century Gothic" w:eastAsia="Century Gothic" w:hAnsi="Century Gothic"/>
          <w:color w:val="000000"/>
          <w:sz w:val="24"/>
          <w:szCs w:val="24"/>
          <w:rtl w:val="0"/>
        </w:rPr>
        <w:t xml:space="preserve">United Nations Development Programme (UNDP). (2013). Adapting locally to secure sustainable futures: Selected case studies from the UNDP GEF community-based adaptation project. UNDP. https://www.adaptation-undp.org/resources/publications</w:t>
      </w:r>
    </w:p>
    <w:p w:rsidR="00000000" w:rsidDel="00000000" w:rsidP="00000000" w:rsidRDefault="00000000" w:rsidRPr="00000000" w14:paraId="00000152">
      <w:pPr>
        <w:spacing w:after="0" w:line="360" w:lineRule="auto"/>
        <w:ind w:left="720" w:hanging="720"/>
        <w:jc w:val="both"/>
        <w:rPr>
          <w:rFonts w:ascii="Century Gothic" w:cs="Century Gothic" w:eastAsia="Century Gothic" w:hAnsi="Century Gothic"/>
          <w:i w:val="1"/>
          <w:iCs w:val="1"/>
          <w:color w:val="2e75b5"/>
          <w:sz w:val="32"/>
          <w:szCs w:val="32"/>
        </w:rPr>
      </w:pPr>
      <w:r w:rsidDel="00000000" w:rsidR="00000000" w:rsidRPr="00000000">
        <w:rPr>
          <w:rFonts w:ascii="Century Gothic" w:cs="Century Gothic" w:eastAsia="Century Gothic" w:hAnsi="Century Gothic"/>
          <w:color w:val="000000"/>
          <w:sz w:val="24"/>
          <w:szCs w:val="24"/>
          <w:rtl w:val="0"/>
        </w:rPr>
        <w:t xml:space="preserve">United Nations. (2015). Transforming our world: The 2030 agenda for sustainable development. https://sustainabledevelopment.un.org/post2015/transformingourworld</w:t>
      </w:r>
      <w:r w:rsidDel="00000000" w:rsidR="00000000" w:rsidRPr="00000000">
        <w:rPr>
          <w:rtl w:val="0"/>
        </w:rPr>
      </w:r>
    </w:p>
    <w:p w:rsidR="00000000" w:rsidDel="00000000" w:rsidP="00000000" w:rsidRDefault="00000000" w:rsidRPr="00000000" w14:paraId="00000153">
      <w:pPr>
        <w:spacing w:after="0" w:line="360" w:lineRule="auto"/>
        <w:rPr>
          <w:rFonts w:ascii="Century Gothic" w:cs="Century Gothic" w:eastAsia="Century Gothic" w:hAnsi="Century Gothic"/>
          <w:color w:val="2e75b5"/>
          <w:sz w:val="32"/>
          <w:szCs w:val="32"/>
        </w:rPr>
      </w:pPr>
      <w:r w:rsidDel="00000000" w:rsidR="00000000" w:rsidRPr="00000000">
        <w:rPr>
          <w:rtl w:val="0"/>
        </w:rPr>
      </w:r>
    </w:p>
    <w:p w:rsidR="00000000" w:rsidDel="00000000" w:rsidP="00000000" w:rsidRDefault="00000000" w:rsidRPr="00000000" w14:paraId="00000154">
      <w:pPr>
        <w:spacing w:after="0" w:line="36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155">
      <w:pPr>
        <w:spacing w:after="0" w:line="360" w:lineRule="auto"/>
        <w:rPr>
          <w:rFonts w:ascii="Century Gothic" w:cs="Century Gothic" w:eastAsia="Century Gothic" w:hAnsi="Century Gothic"/>
        </w:rPr>
      </w:pPr>
      <w:r w:rsidDel="00000000" w:rsidR="00000000" w:rsidRPr="00000000">
        <w:rPr>
          <w:rFonts w:ascii="Century Gothic" w:cs="Century Gothic" w:eastAsia="Century Gothic" w:hAnsi="Century Gothic"/>
        </w:rPr>
        <w:drawing>
          <wp:inline distB="0" distT="0" distL="0" distR="0">
            <wp:extent cx="1686861" cy="403322"/>
            <wp:effectExtent b="0" l="0" r="0" t="0"/>
            <wp:docPr descr="Interfaz de usuario gráfica&#10;&#10;Descripción generada automáticamente con confianza media" id="2125782379" name="image9.png"/>
            <a:graphic>
              <a:graphicData uri="http://schemas.openxmlformats.org/drawingml/2006/picture">
                <pic:pic>
                  <pic:nvPicPr>
                    <pic:cNvPr descr="Interfaz de usuario gráfica&#10;&#10;Descripción generada automáticamente con confianza media" id="0" name="image9.png"/>
                    <pic:cNvPicPr preferRelativeResize="0"/>
                  </pic:nvPicPr>
                  <pic:blipFill>
                    <a:blip r:embed="rId72"/>
                    <a:srcRect b="0" l="0" r="0" t="0"/>
                    <a:stretch>
                      <a:fillRect/>
                    </a:stretch>
                  </pic:blipFill>
                  <pic:spPr>
                    <a:xfrm>
                      <a:off x="0" y="0"/>
                      <a:ext cx="1686861" cy="403322"/>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1806575</wp:posOffset>
                </wp:positionH>
                <wp:positionV relativeFrom="paragraph">
                  <wp:posOffset>-9522</wp:posOffset>
                </wp:positionV>
                <wp:extent cx="3986213" cy="613264"/>
                <wp:effectExtent b="0" l="0" r="0" t="0"/>
                <wp:wrapNone/>
                <wp:docPr id="2125782376" name=""/>
                <a:graphic>
                  <a:graphicData uri="http://schemas.microsoft.com/office/word/2010/wordprocessingShape">
                    <wps:wsp>
                      <wps:cNvSpPr/>
                      <wps:cNvPr id="4" name="Shape 4"/>
                      <wps:spPr>
                        <a:xfrm>
                          <a:off x="3558475" y="3548225"/>
                          <a:ext cx="3575050" cy="463550"/>
                        </a:xfrm>
                        <a:prstGeom prst="rect">
                          <a:avLst/>
                        </a:prstGeom>
                        <a:solidFill>
                          <a:srgbClr val="FFFFFF"/>
                        </a:solidFill>
                        <a:ln>
                          <a:noFill/>
                        </a:ln>
                      </wps:spPr>
                      <wps:txbx>
                        <w:txbxContent>
                          <w:p w:rsidR="00000000" w:rsidDel="00000000" w:rsidP="00000000" w:rsidRDefault="00000000" w:rsidRPr="00000000">
                            <w:pPr>
                              <w:spacing w:after="160" w:before="0" w:line="255"/>
                              <w:ind w:left="0" w:right="0" w:firstLine="0"/>
                              <w:jc w:val="both"/>
                              <w:textDirection w:val="btLr"/>
                            </w:pPr>
                            <w:r w:rsidDel="00000000" w:rsidR="00000000" w:rsidRPr="00000000">
                              <w:rPr>
                                <w:rFonts w:ascii="Calibri" w:cs="Calibri" w:eastAsia="Calibri" w:hAnsi="Calibri"/>
                                <w:b w:val="0"/>
                                <w:i w:val="0"/>
                                <w:smallCaps w:val="0"/>
                                <w:strike w:val="0"/>
                                <w:color w:val="2e4c59"/>
                                <w:sz w:val="12"/>
                                <w:vertAlign w:val="baseline"/>
                              </w:rPr>
                              <w:t xml:space="preserve">Co-funded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 2023-1-ES01-KA220-HED-000161343</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1806575</wp:posOffset>
                </wp:positionH>
                <wp:positionV relativeFrom="paragraph">
                  <wp:posOffset>-9522</wp:posOffset>
                </wp:positionV>
                <wp:extent cx="3986213" cy="613264"/>
                <wp:effectExtent b="0" l="0" r="0" t="0"/>
                <wp:wrapNone/>
                <wp:docPr id="2125782376" name="image15.png"/>
                <a:graphic>
                  <a:graphicData uri="http://schemas.openxmlformats.org/drawingml/2006/picture">
                    <pic:pic>
                      <pic:nvPicPr>
                        <pic:cNvPr id="0" name="image15.png"/>
                        <pic:cNvPicPr preferRelativeResize="0"/>
                      </pic:nvPicPr>
                      <pic:blipFill>
                        <a:blip r:embed="rId9"/>
                        <a:srcRect/>
                        <a:stretch>
                          <a:fillRect/>
                        </a:stretch>
                      </pic:blipFill>
                      <pic:spPr>
                        <a:xfrm>
                          <a:off x="0" y="0"/>
                          <a:ext cx="3986213" cy="613264"/>
                        </a:xfrm>
                        <a:prstGeom prst="rect"/>
                        <a:ln/>
                      </pic:spPr>
                    </pic:pic>
                  </a:graphicData>
                </a:graphic>
              </wp:anchor>
            </w:drawing>
          </mc:Fallback>
        </mc:AlternateContent>
      </w:r>
    </w:p>
    <w:sectPr>
      <w:type w:val="nextPage"/>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 w:name="Courier New"/>
  <w:font w:name="Noto Sans Symbols">
    <w:embedRegular w:fontKey="{00000000-0000-0000-0000-000000000000}" r:id="rId2" w:subsetted="0"/>
    <w:embedBold w:fontKey="{00000000-0000-0000-0000-000000000000}" r:id="rId3" w:subsetted="0"/>
  </w:font>
  <w:font w:name="Cambria Math">
    <w:embedRegular w:fontKey="{00000000-0000-0000-0000-000000000000}" r:id="rId4" w:subsetted="0"/>
  </w:font>
  <w:font w:name="Century Gothic">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7">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color w:val="000000"/>
      </w:rPr>
      <w:drawing>
        <wp:inline distB="0" distT="0" distL="0" distR="0">
          <wp:extent cx="458146" cy="458146"/>
          <wp:effectExtent b="0" l="0" r="0" t="0"/>
          <wp:docPr descr="Logotipo, nombre de la empresa&#10;&#10;Descripción generada automáticamente" id="2125782382" name="image5.jpg"/>
          <a:graphic>
            <a:graphicData uri="http://schemas.openxmlformats.org/drawingml/2006/picture">
              <pic:pic>
                <pic:nvPicPr>
                  <pic:cNvPr descr="Logotipo, nombre de la empresa&#10;&#10;Descripción generada automáticamente" id="0" name="image5.jpg"/>
                  <pic:cNvPicPr preferRelativeResize="0"/>
                </pic:nvPicPr>
                <pic:blipFill>
                  <a:blip r:embed="rId2"/>
                  <a:srcRect b="0" l="0" r="0" t="0"/>
                  <a:stretch>
                    <a:fillRect/>
                  </a:stretch>
                </pic:blipFill>
                <pic:spPr>
                  <a:xfrm>
                    <a:off x="0" y="0"/>
                    <a:ext cx="458146" cy="458146"/>
                  </a:xfrm>
                  <a:prstGeom prst="rect"/>
                  <a:ln/>
                </pic:spPr>
              </pic:pic>
            </a:graphicData>
          </a:graphic>
        </wp:inline>
      </w:drawing>
    </w:r>
    <w:r w:rsidDel="00000000" w:rsidR="00000000" w:rsidRPr="00000000">
      <w:rPr>
        <w:color w:val="000000"/>
        <w:rtl w:val="0"/>
      </w:rPr>
      <w:t xml:space="preserve">           </w:t>
    </w:r>
    <w:r w:rsidDel="00000000" w:rsidR="00000000" w:rsidRPr="00000000">
      <w:rPr>
        <w:color w:val="000000"/>
      </w:rPr>
      <w:drawing>
        <wp:inline distB="0" distT="0" distL="0" distR="0">
          <wp:extent cx="831992" cy="351514"/>
          <wp:effectExtent b="0" l="0" r="0" t="0"/>
          <wp:docPr id="2125782380" name="image6.jpg"/>
          <a:graphic>
            <a:graphicData uri="http://schemas.openxmlformats.org/drawingml/2006/picture">
              <pic:pic>
                <pic:nvPicPr>
                  <pic:cNvPr id="0" name="image6.jpg"/>
                  <pic:cNvPicPr preferRelativeResize="0"/>
                </pic:nvPicPr>
                <pic:blipFill>
                  <a:blip r:embed="rId3"/>
                  <a:srcRect b="0" l="0" r="0" t="0"/>
                  <a:stretch>
                    <a:fillRect/>
                  </a:stretch>
                </pic:blipFill>
                <pic:spPr>
                  <a:xfrm>
                    <a:off x="0" y="0"/>
                    <a:ext cx="831992" cy="351514"/>
                  </a:xfrm>
                  <a:prstGeom prst="rect"/>
                  <a:ln/>
                </pic:spPr>
              </pic:pic>
            </a:graphicData>
          </a:graphic>
        </wp:inline>
      </w:drawing>
    </w:r>
    <w:r w:rsidDel="00000000" w:rsidR="00000000" w:rsidRPr="00000000">
      <w:rPr>
        <w:color w:val="000000"/>
        <w:rtl w:val="0"/>
      </w:rPr>
      <w:t xml:space="preserve">   </w:t>
    </w:r>
    <w:r w:rsidDel="00000000" w:rsidR="00000000" w:rsidRPr="00000000">
      <w:rPr>
        <w:color w:val="000000"/>
      </w:rPr>
      <w:drawing>
        <wp:inline distB="0" distT="0" distL="0" distR="0">
          <wp:extent cx="679410" cy="375301"/>
          <wp:effectExtent b="0" l="0" r="0" t="0"/>
          <wp:docPr descr="Texto&#10;&#10;Descripción generada automáticamente" id="2125782384" name="image12.png"/>
          <a:graphic>
            <a:graphicData uri="http://schemas.openxmlformats.org/drawingml/2006/picture">
              <pic:pic>
                <pic:nvPicPr>
                  <pic:cNvPr descr="Texto&#10;&#10;Descripción generada automáticamente" id="0" name="image12.png"/>
                  <pic:cNvPicPr preferRelativeResize="0"/>
                </pic:nvPicPr>
                <pic:blipFill>
                  <a:blip r:embed="rId4"/>
                  <a:srcRect b="0" l="0" r="0" t="0"/>
                  <a:stretch>
                    <a:fillRect/>
                  </a:stretch>
                </pic:blipFill>
                <pic:spPr>
                  <a:xfrm>
                    <a:off x="0" y="0"/>
                    <a:ext cx="679410" cy="375301"/>
                  </a:xfrm>
                  <a:prstGeom prst="rect"/>
                  <a:ln/>
                </pic:spPr>
              </pic:pic>
            </a:graphicData>
          </a:graphic>
        </wp:inline>
      </w:drawing>
    </w:r>
    <w:r w:rsidDel="00000000" w:rsidR="00000000" w:rsidRPr="00000000">
      <w:rPr>
        <w:color w:val="000000"/>
        <w:rtl w:val="0"/>
      </w:rPr>
      <w:t xml:space="preserve">     </w:t>
    </w:r>
    <w:r w:rsidDel="00000000" w:rsidR="00000000" w:rsidRPr="00000000">
      <w:rPr>
        <w:color w:val="000000"/>
      </w:rPr>
      <w:drawing>
        <wp:inline distB="0" distT="0" distL="0" distR="0">
          <wp:extent cx="1113303" cy="390794"/>
          <wp:effectExtent b="0" l="0" r="0" t="0"/>
          <wp:docPr descr="Imagen que contiene Texto&#10;&#10;Descripción generada automáticamente" id="2125782383" name="image7.png"/>
          <a:graphic>
            <a:graphicData uri="http://schemas.openxmlformats.org/drawingml/2006/picture">
              <pic:pic>
                <pic:nvPicPr>
                  <pic:cNvPr descr="Imagen que contiene Texto&#10;&#10;Descripción generada automáticamente" id="0" name="image7.png"/>
                  <pic:cNvPicPr preferRelativeResize="0"/>
                </pic:nvPicPr>
                <pic:blipFill>
                  <a:blip r:embed="rId5"/>
                  <a:srcRect b="0" l="0" r="0" t="0"/>
                  <a:stretch>
                    <a:fillRect/>
                  </a:stretch>
                </pic:blipFill>
                <pic:spPr>
                  <a:xfrm>
                    <a:off x="0" y="0"/>
                    <a:ext cx="1113303" cy="390794"/>
                  </a:xfrm>
                  <a:prstGeom prst="rect"/>
                  <a:ln/>
                </pic:spPr>
              </pic:pic>
            </a:graphicData>
          </a:graphic>
        </wp:inline>
      </w:drawing>
    </w:r>
    <w:r w:rsidDel="00000000" w:rsidR="00000000" w:rsidRPr="00000000">
      <w:rPr>
        <w:color w:val="000000"/>
        <w:rtl w:val="0"/>
      </w:rPr>
      <w:t xml:space="preserve">    </w:t>
    </w:r>
    <w:r w:rsidDel="00000000" w:rsidR="00000000" w:rsidRPr="00000000">
      <w:rPr>
        <w:color w:val="000000"/>
      </w:rPr>
      <w:drawing>
        <wp:inline distB="0" distT="0" distL="0" distR="0">
          <wp:extent cx="1086527" cy="509953"/>
          <wp:effectExtent b="0" l="0" r="0" t="0"/>
          <wp:docPr descr="Imagen que contiene Forma&#10;&#10;Descripción generada automáticamente" id="2125782386" name="image4.jpg"/>
          <a:graphic>
            <a:graphicData uri="http://schemas.openxmlformats.org/drawingml/2006/picture">
              <pic:pic>
                <pic:nvPicPr>
                  <pic:cNvPr descr="Imagen que contiene Forma&#10;&#10;Descripción generada automáticamente" id="0" name="image4.jpg"/>
                  <pic:cNvPicPr preferRelativeResize="0"/>
                </pic:nvPicPr>
                <pic:blipFill>
                  <a:blip r:embed="rId6"/>
                  <a:srcRect b="0" l="0" r="0" t="0"/>
                  <a:stretch>
                    <a:fillRect/>
                  </a:stretch>
                </pic:blipFill>
                <pic:spPr>
                  <a:xfrm>
                    <a:off x="0" y="0"/>
                    <a:ext cx="1086527" cy="509953"/>
                  </a:xfrm>
                  <a:prstGeom prst="rect"/>
                  <a:ln/>
                </pic:spPr>
              </pic:pic>
            </a:graphicData>
          </a:graphic>
        </wp:inline>
      </w:drawing>
    </w:r>
    <w:r w:rsidDel="00000000" w:rsidR="00000000" w:rsidRPr="00000000">
      <w:rPr>
        <w:color w:val="000000"/>
      </w:rPr>
      <w:drawing>
        <wp:inline distB="0" distT="0" distL="0" distR="0">
          <wp:extent cx="813176" cy="196788"/>
          <wp:effectExtent b="0" l="0" r="0" t="0"/>
          <wp:docPr descr="Imagen que contiene dibujo, señal&#10;&#10;Descripción generada automáticamente" id="2125782385" name="image2.jpg"/>
          <a:graphic>
            <a:graphicData uri="http://schemas.openxmlformats.org/drawingml/2006/picture">
              <pic:pic>
                <pic:nvPicPr>
                  <pic:cNvPr descr="Imagen que contiene dibujo, señal&#10;&#10;Descripción generada automáticamente" id="0" name="image2.jpg"/>
                  <pic:cNvPicPr preferRelativeResize="0"/>
                </pic:nvPicPr>
                <pic:blipFill>
                  <a:blip r:embed="rId7"/>
                  <a:srcRect b="0" l="0" r="0" t="0"/>
                  <a:stretch>
                    <a:fillRect/>
                  </a:stretch>
                </pic:blipFill>
                <pic:spPr>
                  <a:xfrm>
                    <a:off x="0" y="0"/>
                    <a:ext cx="813176" cy="196788"/>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6">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color w:val="000000"/>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4246879</wp:posOffset>
          </wp:positionH>
          <wp:positionV relativeFrom="paragraph">
            <wp:posOffset>-28570</wp:posOffset>
          </wp:positionV>
          <wp:extent cx="1771015" cy="371475"/>
          <wp:effectExtent b="0" l="0" r="0" t="0"/>
          <wp:wrapNone/>
          <wp:docPr id="2125782381" name="image11.jpg"/>
          <a:graphic>
            <a:graphicData uri="http://schemas.openxmlformats.org/drawingml/2006/picture">
              <pic:pic>
                <pic:nvPicPr>
                  <pic:cNvPr id="0" name="image11.jpg"/>
                  <pic:cNvPicPr preferRelativeResize="0"/>
                </pic:nvPicPr>
                <pic:blipFill>
                  <a:blip r:embed="rId2"/>
                  <a:srcRect b="50" l="0" r="0" t="50"/>
                  <a:stretch>
                    <a:fillRect/>
                  </a:stretch>
                </pic:blipFill>
                <pic:spPr>
                  <a:xfrm>
                    <a:off x="0" y="0"/>
                    <a:ext cx="1771015" cy="37147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5"/>
      <w:numFmt w:val="decimal"/>
      <w:lvlText w:val="%1"/>
      <w:lvlJc w:val="left"/>
      <w:pPr>
        <w:ind w:left="375" w:hanging="375"/>
      </w:pPr>
      <w:rPr/>
    </w:lvl>
    <w:lvl w:ilvl="1">
      <w:start w:val="1"/>
      <w:numFmt w:val="decimal"/>
      <w:lvlText w:val="%1.%2"/>
      <w:lvlJc w:val="left"/>
      <w:pPr>
        <w:ind w:left="1095" w:hanging="375"/>
      </w:pPr>
      <w:rPr/>
    </w:lvl>
    <w:lvl w:ilvl="2">
      <w:start w:val="1"/>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5040" w:hanging="1440"/>
      </w:pPr>
      <w:rPr/>
    </w:lvl>
    <w:lvl w:ilvl="6">
      <w:start w:val="1"/>
      <w:numFmt w:val="decimal"/>
      <w:lvlText w:val="%1.%2.%3.%4.%5.%6.%7"/>
      <w:lvlJc w:val="left"/>
      <w:pPr>
        <w:ind w:left="5760" w:hanging="1440"/>
      </w:pPr>
      <w:rPr/>
    </w:lvl>
    <w:lvl w:ilvl="7">
      <w:start w:val="1"/>
      <w:numFmt w:val="decimal"/>
      <w:lvlText w:val="%1.%2.%3.%4.%5.%6.%7.%8"/>
      <w:lvlJc w:val="left"/>
      <w:pPr>
        <w:ind w:left="6840" w:hanging="1800"/>
      </w:pPr>
      <w:rPr/>
    </w:lvl>
    <w:lvl w:ilvl="8">
      <w:start w:val="1"/>
      <w:numFmt w:val="decimal"/>
      <w:lvlText w:val="%1.%2.%3.%4.%5.%6.%7.%8.%9"/>
      <w:lvlJc w:val="left"/>
      <w:pPr>
        <w:ind w:left="7560" w:hanging="1800"/>
      </w:pPr>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Bdr>
        <w:top w:color="000000" w:space="1" w:sz="12" w:val="single"/>
        <w:bottom w:color="000000" w:space="1" w:sz="12" w:val="single"/>
      </w:pBdr>
      <w:shd w:fill="d9d9d9" w:val="clear"/>
      <w:spacing w:after="40" w:before="220" w:lineRule="auto"/>
      <w:ind w:left="720" w:hanging="360"/>
    </w:pPr>
    <w:rPr>
      <w:rFonts w:ascii="Calibri" w:cs="Calibri" w:eastAsia="Calibri" w:hAnsi="Calibri"/>
      <w:b w:val="1"/>
      <w:bCs w:val="1"/>
      <w:smallCaps w:val="1"/>
      <w:sz w:val="24"/>
      <w:szCs w:val="24"/>
    </w:rPr>
  </w:style>
  <w:style w:type="paragraph" w:styleId="Heading2">
    <w:name w:val="heading 2"/>
    <w:basedOn w:val="Normal"/>
    <w:next w:val="Normal"/>
    <w:pPr>
      <w:keepNext w:val="1"/>
      <w:keepLines w:val="1"/>
      <w:spacing w:after="0" w:before="40" w:lineRule="auto"/>
    </w:pPr>
    <w:rPr>
      <w:rFonts w:ascii="Calibri" w:cs="Calibri" w:eastAsia="Calibri" w:hAnsi="Calibri"/>
      <w:color w:val="2e75b5"/>
      <w:sz w:val="26"/>
      <w:szCs w:val="2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paragraph" w:styleId="Encabezado">
    <w:name w:val="header"/>
    <w:basedOn w:val="Normal"/>
    <w:link w:val="EncabezadoCar"/>
    <w:uiPriority w:val="99"/>
    <w:unhideWhenUsed w:val="1"/>
    <w:rsid w:val="00DC18AE"/>
    <w:pPr>
      <w:tabs>
        <w:tab w:val="center" w:pos="4680"/>
        <w:tab w:val="right" w:pos="9360"/>
      </w:tabs>
      <w:spacing w:after="0" w:line="240" w:lineRule="auto"/>
    </w:pPr>
  </w:style>
  <w:style w:type="character" w:styleId="EncabezadoCar" w:customStyle="1">
    <w:name w:val="Encabezado Car"/>
    <w:basedOn w:val="Fuentedeprrafopredeter"/>
    <w:link w:val="Encabezado"/>
    <w:uiPriority w:val="99"/>
    <w:rsid w:val="00DC18AE"/>
  </w:style>
  <w:style w:type="paragraph" w:styleId="Piedepgina">
    <w:name w:val="footer"/>
    <w:basedOn w:val="Normal"/>
    <w:link w:val="PiedepginaCar"/>
    <w:uiPriority w:val="99"/>
    <w:unhideWhenUsed w:val="1"/>
    <w:rsid w:val="00DC18AE"/>
    <w:pPr>
      <w:tabs>
        <w:tab w:val="center" w:pos="4680"/>
        <w:tab w:val="right" w:pos="9360"/>
      </w:tabs>
      <w:spacing w:after="0" w:line="240" w:lineRule="auto"/>
    </w:pPr>
  </w:style>
  <w:style w:type="character" w:styleId="PiedepginaCar" w:customStyle="1">
    <w:name w:val="Pie de página Car"/>
    <w:basedOn w:val="Fuentedeprrafopredeter"/>
    <w:link w:val="Piedepgina"/>
    <w:uiPriority w:val="99"/>
    <w:rsid w:val="00DC18AE"/>
  </w:style>
  <w:style w:type="paragraph" w:styleId="Textodeglobo">
    <w:name w:val="Balloon Text"/>
    <w:basedOn w:val="Normal"/>
    <w:link w:val="TextodegloboCar"/>
    <w:uiPriority w:val="99"/>
    <w:semiHidden w:val="1"/>
    <w:unhideWhenUsed w:val="1"/>
    <w:rsid w:val="00EC247C"/>
    <w:pPr>
      <w:spacing w:after="0" w:line="240" w:lineRule="auto"/>
    </w:pPr>
    <w:rPr>
      <w:rFonts w:ascii="Tahoma" w:cs="Tahoma" w:hAnsi="Tahoma"/>
      <w:sz w:val="16"/>
      <w:szCs w:val="16"/>
    </w:rPr>
  </w:style>
  <w:style w:type="character" w:styleId="TextodegloboCar" w:customStyle="1">
    <w:name w:val="Texto de globo Car"/>
    <w:basedOn w:val="Fuentedeprrafopredeter"/>
    <w:link w:val="Textodeglobo"/>
    <w:uiPriority w:val="99"/>
    <w:semiHidden w:val="1"/>
    <w:rsid w:val="00EC247C"/>
    <w:rPr>
      <w:rFonts w:ascii="Tahoma" w:cs="Tahoma" w:hAnsi="Tahoma"/>
      <w:sz w:val="16"/>
      <w:szCs w:val="16"/>
    </w:rPr>
  </w:style>
  <w:style w:type="character" w:styleId="jsgrdq" w:customStyle="1">
    <w:name w:val="jsgrdq"/>
    <w:basedOn w:val="Fuentedeprrafopredeter"/>
    <w:rsid w:val="00426731"/>
  </w:style>
  <w:style w:type="character" w:styleId="Ttulo1Car" w:customStyle="1">
    <w:name w:val="Título 1 Car"/>
    <w:basedOn w:val="Fuentedeprrafopredeter"/>
    <w:link w:val="Ttulo1"/>
    <w:uiPriority w:val="9"/>
    <w:rsid w:val="00DD7979"/>
    <w:rPr>
      <w:rFonts w:asciiTheme="minorHAnsi" w:cstheme="majorBidi" w:eastAsiaTheme="majorEastAsia" w:hAnsiTheme="minorHAnsi"/>
      <w:b w:val="1"/>
      <w:caps w:val="1"/>
      <w:sz w:val="24"/>
      <w:szCs w:val="32"/>
      <w:shd w:color="auto" w:fill="d9d9d9" w:themeFill="background1" w:themeFillShade="0000D9" w:val="clear"/>
    </w:rPr>
  </w:style>
  <w:style w:type="paragraph" w:styleId="TtuloTDC">
    <w:name w:val="TOC Heading"/>
    <w:basedOn w:val="Ttulo1"/>
    <w:next w:val="Normal"/>
    <w:uiPriority w:val="39"/>
    <w:unhideWhenUsed w:val="1"/>
    <w:qFormat w:val="1"/>
    <w:rsid w:val="001F72B0"/>
    <w:pPr>
      <w:outlineLvl w:val="9"/>
    </w:pPr>
  </w:style>
  <w:style w:type="paragraph" w:styleId="TDC1">
    <w:name w:val="toc 1"/>
    <w:basedOn w:val="Normal"/>
    <w:next w:val="Normal"/>
    <w:autoRedefine w:val="1"/>
    <w:uiPriority w:val="39"/>
    <w:unhideWhenUsed w:val="1"/>
    <w:rsid w:val="001F72B0"/>
    <w:pPr>
      <w:spacing w:after="100"/>
    </w:pPr>
  </w:style>
  <w:style w:type="character" w:styleId="Hipervnculo">
    <w:name w:val="Hyperlink"/>
    <w:basedOn w:val="Fuentedeprrafopredeter"/>
    <w:uiPriority w:val="99"/>
    <w:unhideWhenUsed w:val="1"/>
    <w:rsid w:val="001F72B0"/>
    <w:rPr>
      <w:color w:val="0563c1" w:themeColor="hyperlink"/>
      <w:u w:val="single"/>
    </w:rPr>
  </w:style>
  <w:style w:type="character" w:styleId="Ttulo2Car" w:customStyle="1">
    <w:name w:val="Título 2 Car"/>
    <w:basedOn w:val="Fuentedeprrafopredeter"/>
    <w:link w:val="Ttulo2"/>
    <w:uiPriority w:val="9"/>
    <w:rsid w:val="00370FA9"/>
    <w:rPr>
      <w:rFonts w:asciiTheme="majorHAnsi" w:cstheme="majorBidi" w:eastAsiaTheme="majorEastAsia" w:hAnsiTheme="majorHAnsi"/>
      <w:color w:val="2e74b5" w:themeColor="accent1" w:themeShade="0000BF"/>
      <w:sz w:val="26"/>
      <w:szCs w:val="26"/>
    </w:rPr>
  </w:style>
  <w:style w:type="paragraph" w:styleId="TDC2">
    <w:name w:val="toc 2"/>
    <w:basedOn w:val="Normal"/>
    <w:next w:val="Normal"/>
    <w:autoRedefine w:val="1"/>
    <w:uiPriority w:val="39"/>
    <w:unhideWhenUsed w:val="1"/>
    <w:rsid w:val="0099285B"/>
    <w:pPr>
      <w:spacing w:after="100"/>
      <w:ind w:left="220"/>
    </w:pPr>
  </w:style>
  <w:style w:type="paragraph" w:styleId="Prrafodelista">
    <w:name w:val="List Paragraph"/>
    <w:basedOn w:val="Normal"/>
    <w:uiPriority w:val="34"/>
    <w:qFormat w:val="1"/>
    <w:rsid w:val="00F25702"/>
    <w:pPr>
      <w:ind w:left="720"/>
      <w:contextualSpacing w:val="1"/>
    </w:pPr>
  </w:style>
  <w:style w:type="character" w:styleId="Refdecomentario">
    <w:name w:val="annotation reference"/>
    <w:basedOn w:val="Fuentedeprrafopredeter"/>
    <w:uiPriority w:val="99"/>
    <w:semiHidden w:val="1"/>
    <w:unhideWhenUsed w:val="1"/>
    <w:rsid w:val="00C52635"/>
    <w:rPr>
      <w:sz w:val="16"/>
      <w:szCs w:val="16"/>
    </w:rPr>
  </w:style>
  <w:style w:type="paragraph" w:styleId="Textocomentario">
    <w:name w:val="annotation text"/>
    <w:basedOn w:val="Normal"/>
    <w:link w:val="TextocomentarioCar"/>
    <w:uiPriority w:val="99"/>
    <w:unhideWhenUsed w:val="1"/>
    <w:rsid w:val="00C52635"/>
    <w:pPr>
      <w:spacing w:line="240" w:lineRule="auto"/>
    </w:pPr>
    <w:rPr>
      <w:sz w:val="20"/>
      <w:szCs w:val="20"/>
    </w:rPr>
  </w:style>
  <w:style w:type="character" w:styleId="TextocomentarioCar" w:customStyle="1">
    <w:name w:val="Texto comentario Car"/>
    <w:basedOn w:val="Fuentedeprrafopredeter"/>
    <w:link w:val="Textocomentario"/>
    <w:uiPriority w:val="99"/>
    <w:rsid w:val="00C52635"/>
    <w:rPr>
      <w:sz w:val="20"/>
      <w:szCs w:val="20"/>
    </w:rPr>
  </w:style>
  <w:style w:type="paragraph" w:styleId="Asuntodelcomentario">
    <w:name w:val="annotation subject"/>
    <w:basedOn w:val="Textocomentario"/>
    <w:next w:val="Textocomentario"/>
    <w:link w:val="AsuntodelcomentarioCar"/>
    <w:uiPriority w:val="99"/>
    <w:semiHidden w:val="1"/>
    <w:unhideWhenUsed w:val="1"/>
    <w:rsid w:val="00C52635"/>
    <w:rPr>
      <w:b w:val="1"/>
      <w:bCs w:val="1"/>
    </w:rPr>
  </w:style>
  <w:style w:type="character" w:styleId="AsuntodelcomentarioCar" w:customStyle="1">
    <w:name w:val="Asunto del comentario Car"/>
    <w:basedOn w:val="TextocomentarioCar"/>
    <w:link w:val="Asuntodelcomentario"/>
    <w:uiPriority w:val="99"/>
    <w:semiHidden w:val="1"/>
    <w:rsid w:val="00C52635"/>
    <w:rPr>
      <w:b w:val="1"/>
      <w:bCs w:val="1"/>
      <w:sz w:val="20"/>
      <w:szCs w:val="20"/>
    </w:rPr>
  </w:style>
  <w:style w:type="paragraph" w:styleId="Revisin">
    <w:name w:val="Revision"/>
    <w:hidden w:val="1"/>
    <w:uiPriority w:val="99"/>
    <w:semiHidden w:val="1"/>
    <w:rsid w:val="007B2911"/>
    <w:pPr>
      <w:spacing w:after="0" w:line="240" w:lineRule="auto"/>
    </w:pPr>
  </w:style>
  <w:style w:type="table" w:styleId="a" w:customStyle="1">
    <w:basedOn w:val="TableNormal1"/>
    <w:tblPr>
      <w:tblStyleRowBandSize w:val="1"/>
      <w:tblStyleColBandSize w:val="1"/>
      <w:tblCellMar>
        <w:top w:w="100.0" w:type="dxa"/>
        <w:left w:w="100.0" w:type="dxa"/>
        <w:bottom w:w="100.0" w:type="dxa"/>
        <w:right w:w="100.0" w:type="dxa"/>
      </w:tblCellMar>
    </w:tblPr>
  </w:style>
  <w:style w:type="table" w:styleId="a0" w:customStyle="1">
    <w:basedOn w:val="TableNormal1"/>
    <w:tblPr>
      <w:tblStyleRowBandSize w:val="1"/>
      <w:tblStyleColBandSize w:val="1"/>
      <w:tblCellMar>
        <w:top w:w="100.0" w:type="dxa"/>
        <w:left w:w="100.0" w:type="dxa"/>
        <w:bottom w:w="100.0" w:type="dxa"/>
        <w:right w:w="100.0" w:type="dxa"/>
      </w:tblCellMar>
    </w:tblPr>
  </w:style>
  <w:style w:type="table" w:styleId="a1" w:customStyle="1">
    <w:basedOn w:val="TableNormal1"/>
    <w:tblPr>
      <w:tblStyleRowBandSize w:val="1"/>
      <w:tblStyleColBandSize w:val="1"/>
      <w:tblCellMar>
        <w:top w:w="100.0" w:type="dxa"/>
        <w:left w:w="100.0" w:type="dxa"/>
        <w:bottom w:w="100.0" w:type="dxa"/>
        <w:right w:w="100.0" w:type="dxa"/>
      </w:tblCellMar>
    </w:tblPr>
  </w:style>
  <w:style w:type="character" w:styleId="Mencinsinresolver">
    <w:name w:val="Unresolved Mention"/>
    <w:basedOn w:val="Fuentedeprrafopredeter"/>
    <w:uiPriority w:val="99"/>
    <w:semiHidden w:val="1"/>
    <w:unhideWhenUsed w:val="1"/>
    <w:rsid w:val="00246606"/>
    <w:rPr>
      <w:color w:val="605e5c"/>
      <w:shd w:color="auto" w:fill="e1dfdd" w:val="clear"/>
    </w:rPr>
  </w:style>
  <w:style w:type="character" w:styleId="Ttulo4Car" w:customStyle="1">
    <w:name w:val="Título 4 Car"/>
    <w:basedOn w:val="Fuentedeprrafopredeter"/>
    <w:link w:val="Ttulo4"/>
    <w:uiPriority w:val="9"/>
    <w:rsid w:val="00246606"/>
    <w:rPr>
      <w:b w:val="1"/>
      <w:sz w:val="24"/>
      <w:szCs w:val="24"/>
    </w:rPr>
  </w:style>
  <w:style w:type="paragraph" w:styleId="NormalWeb">
    <w:name w:val="Normal (Web)"/>
    <w:basedOn w:val="Normal"/>
    <w:uiPriority w:val="99"/>
    <w:semiHidden w:val="1"/>
    <w:unhideWhenUsed w:val="1"/>
    <w:rsid w:val="00246606"/>
    <w:pPr>
      <w:spacing w:after="100" w:afterAutospacing="1" w:before="100" w:beforeAutospacing="1" w:line="240" w:lineRule="auto"/>
    </w:pPr>
    <w:rPr>
      <w:rFonts w:ascii="Times New Roman" w:cs="Times New Roman" w:eastAsia="Times New Roman" w:hAnsi="Times New Roman"/>
      <w:sz w:val="24"/>
      <w:szCs w:val="24"/>
      <w:lang w:eastAsia="es-ES_tradnl" w:val="es-ES"/>
    </w:rPr>
  </w:style>
  <w:style w:type="character" w:styleId="apple-converted-space" w:customStyle="1">
    <w:name w:val="apple-converted-space"/>
    <w:basedOn w:val="Fuentedeprrafopredeter"/>
    <w:rsid w:val="00246606"/>
  </w:style>
  <w:style w:type="character" w:styleId="nfasis">
    <w:name w:val="Emphasis"/>
    <w:basedOn w:val="Fuentedeprrafopredeter"/>
    <w:uiPriority w:val="20"/>
    <w:qFormat w:val="1"/>
    <w:rsid w:val="00246606"/>
    <w:rPr>
      <w:i w:val="1"/>
      <w:iCs w:val="1"/>
    </w:rPr>
  </w:style>
  <w:style w:type="table" w:styleId="Tablaconcuadrcula">
    <w:name w:val="Table Grid"/>
    <w:basedOn w:val="Tablanormal"/>
    <w:uiPriority w:val="39"/>
    <w:rsid w:val="0026299E"/>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a2" w:customStyle="1">
    <w:basedOn w:val="TableNormal1"/>
    <w:pPr>
      <w:spacing w:after="0" w:line="240" w:lineRule="auto"/>
    </w:pPr>
    <w:tblPr>
      <w:tblStyleRowBandSize w:val="1"/>
      <w:tblStyleColBandSize w:val="1"/>
      <w:tblCellMar>
        <w:left w:w="108.0" w:type="dxa"/>
        <w:right w:w="108.0" w:type="dxa"/>
      </w:tblCellMar>
    </w:tblPr>
  </w:style>
  <w:style w:type="table" w:styleId="a3" w:customStyle="1">
    <w:basedOn w:val="TableNormal0"/>
    <w:tblPr>
      <w:tblStyleRowBandSize w:val="1"/>
      <w:tblStyleColBandSize w:val="1"/>
      <w:tblCellMar>
        <w:left w:w="115.0" w:type="dxa"/>
        <w:right w:w="115.0" w:type="dxa"/>
      </w:tblCellMar>
    </w:tblPr>
  </w:style>
  <w:style w:type="table" w:styleId="a4" w:customStyle="1">
    <w:basedOn w:val="TableNormal0"/>
    <w:pPr>
      <w:spacing w:after="0" w:line="240" w:lineRule="auto"/>
    </w:pPr>
    <w:tblPr>
      <w:tblStyleRowBandSize w:val="1"/>
      <w:tblStyleColBandSize w:val="1"/>
      <w:tblCellMar>
        <w:left w:w="108.0" w:type="dxa"/>
        <w:right w:w="108.0" w:type="dxa"/>
      </w:tblCellMar>
    </w:tblPr>
  </w:style>
  <w:style w:type="table" w:styleId="a5" w:customStyle="1">
    <w:basedOn w:val="TableNormal0"/>
    <w:pPr>
      <w:spacing w:after="0" w:line="240" w:lineRule="auto"/>
    </w:pPr>
    <w:tblPr>
      <w:tblStyleRowBandSize w:val="1"/>
      <w:tblStyleColBandSize w:val="1"/>
      <w:tblCellMar>
        <w:left w:w="108.0" w:type="dxa"/>
        <w:right w:w="108.0" w:type="dxa"/>
      </w:tblCellMar>
    </w:tblPr>
  </w:style>
  <w:style w:type="paragraph" w:styleId="TDC3">
    <w:name w:val="toc 3"/>
    <w:basedOn w:val="Normal"/>
    <w:next w:val="Normal"/>
    <w:autoRedefine w:val="1"/>
    <w:uiPriority w:val="39"/>
    <w:unhideWhenUsed w:val="1"/>
    <w:rsid w:val="009B3BE8"/>
    <w:pPr>
      <w:spacing w:after="100"/>
      <w:ind w:left="440"/>
    </w:pPr>
    <w:rPr>
      <w:rFonts w:cs="Times New Roman" w:asciiTheme="minorHAnsi" w:eastAsiaTheme="minorEastAsia" w:hAnsiTheme="minorHAnsi"/>
      <w:lang w:val="es-ES"/>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onlinelibrary.wiley.com/doi/10.1002/sd.2384#sd2384-bib-0004" TargetMode="External"/><Relationship Id="rId42" Type="http://schemas.openxmlformats.org/officeDocument/2006/relationships/hyperlink" Target="https://onlinelibrary.wiley.com/doi/10.1002/sd.2384#sd2384-bib-0031" TargetMode="External"/><Relationship Id="rId41" Type="http://schemas.openxmlformats.org/officeDocument/2006/relationships/hyperlink" Target="https://onlinelibrary.wiley.com/doi/10.1002/sd.2384#sd2384-bib-0020" TargetMode="External"/><Relationship Id="rId44" Type="http://schemas.openxmlformats.org/officeDocument/2006/relationships/hyperlink" Target="https://onlinelibrary.wiley.com/doi/10.1002/sd.2384#sd2384-bib-0055" TargetMode="External"/><Relationship Id="rId43" Type="http://schemas.openxmlformats.org/officeDocument/2006/relationships/hyperlink" Target="https://onlinelibrary.wiley.com/doi/10.1002/sd.2384#sd2384-bib-0040" TargetMode="External"/><Relationship Id="rId46" Type="http://schemas.openxmlformats.org/officeDocument/2006/relationships/hyperlink" Target="https://onlinelibrary.wiley.com/doi/10.1002/sd.2384#sd2384-bib-0071" TargetMode="External"/><Relationship Id="rId45" Type="http://schemas.openxmlformats.org/officeDocument/2006/relationships/hyperlink" Target="https://onlinelibrary.wiley.com/doi/10.1002/sd.2384#sd2384-bib-0024" TargetMode="External"/><Relationship Id="rId1" Type="http://schemas.openxmlformats.org/officeDocument/2006/relationships/image" Target="media/image1.jpg"/><Relationship Id="rId2" Type="http://schemas.openxmlformats.org/officeDocument/2006/relationships/theme" Target="theme/theme1.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image" Target="media/image14.png"/><Relationship Id="rId48" Type="http://schemas.openxmlformats.org/officeDocument/2006/relationships/hyperlink" Target="https://onlinelibrary.wiley.com/doi/10.1002/sd.2384#sd2384-bib-0007" TargetMode="External"/><Relationship Id="rId47" Type="http://schemas.openxmlformats.org/officeDocument/2006/relationships/hyperlink" Target="https://onlinelibrary.wiley.com/doi/10.1002/sd.2384#sd2384-bib-0037" TargetMode="External"/><Relationship Id="rId49" Type="http://schemas.openxmlformats.org/officeDocument/2006/relationships/hyperlink" Target="https://onlinelibrary.wiley.com/doi/10.1002/sd.2384#sd2384-bib-0020"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3.jpg"/><Relationship Id="rId72" Type="http://schemas.openxmlformats.org/officeDocument/2006/relationships/image" Target="media/image9.png"/><Relationship Id="rId31" Type="http://schemas.openxmlformats.org/officeDocument/2006/relationships/hyperlink" Target="https://onlinelibrary.wiley.com/doi/10.1002/sd.2384#sd2384-bib-0071" TargetMode="External"/><Relationship Id="rId30" Type="http://schemas.openxmlformats.org/officeDocument/2006/relationships/hyperlink" Target="https://onlinelibrary.wiley.com/doi/10.1002/sd.2384#sd2384-bib-0052" TargetMode="External"/><Relationship Id="rId33" Type="http://schemas.openxmlformats.org/officeDocument/2006/relationships/hyperlink" Target="https://onlinelibrary.wiley.com/doi/10.1002/sd.2384#sd2384-bib-0040" TargetMode="External"/><Relationship Id="rId32" Type="http://schemas.openxmlformats.org/officeDocument/2006/relationships/hyperlink" Target="https://onlinelibrary.wiley.com/doi/10.1002/sd.2384#sd2384-bib-0055" TargetMode="External"/><Relationship Id="rId35" Type="http://schemas.openxmlformats.org/officeDocument/2006/relationships/hyperlink" Target="https://onlinelibrary.wiley.com/doi/10.1002/sd.2384#sd2384-bib-0121" TargetMode="External"/><Relationship Id="rId34" Type="http://schemas.openxmlformats.org/officeDocument/2006/relationships/hyperlink" Target="https://onlinelibrary.wiley.com/doi/10.1002/sd.2384#sd2384-bib-0093" TargetMode="External"/><Relationship Id="rId71" Type="http://schemas.openxmlformats.org/officeDocument/2006/relationships/hyperlink" Target="https://lestanneurs.be/" TargetMode="External"/><Relationship Id="rId70" Type="http://schemas.openxmlformats.org/officeDocument/2006/relationships/hyperlink" Target="https://www.capartscentre.com/cap/" TargetMode="External"/><Relationship Id="rId37" Type="http://schemas.openxmlformats.org/officeDocument/2006/relationships/hyperlink" Target="https://onlinelibrary.wiley.com/doi/10.1002/sd.2384#sd2384-bib-0084" TargetMode="External"/><Relationship Id="rId36" Type="http://schemas.openxmlformats.org/officeDocument/2006/relationships/hyperlink" Target="https://onlinelibrary.wiley.com/doi/10.1002/sd.2384#sd2384-bib-0039" TargetMode="External"/><Relationship Id="rId39" Type="http://schemas.openxmlformats.org/officeDocument/2006/relationships/hyperlink" Target="https://onlinelibrary.wiley.com/doi/10.1002/sd.2384#sd2384-bib-0105" TargetMode="External"/><Relationship Id="rId38" Type="http://schemas.openxmlformats.org/officeDocument/2006/relationships/hyperlink" Target="https://onlinelibrary.wiley.com/doi/10.1002/sd.2384#sd2384-bib-0007" TargetMode="External"/><Relationship Id="rId62" Type="http://schemas.openxmlformats.org/officeDocument/2006/relationships/hyperlink" Target="https://wiki.ecolise.eu/index.php/Community-led_initiatives_and_the_Sustainable_Development_Goals" TargetMode="External"/><Relationship Id="rId61" Type="http://schemas.openxmlformats.org/officeDocument/2006/relationships/hyperlink" Target="https://onlinelibrary.wiley.com/doi/10.1002/sd.2384#sd2384-bib-0073" TargetMode="External"/><Relationship Id="rId20" Type="http://schemas.openxmlformats.org/officeDocument/2006/relationships/hyperlink" Target="https://onlinelibrary.wiley.com/doi/10.1002/sd.2384#sd2384-bib-0047" TargetMode="External"/><Relationship Id="rId64" Type="http://schemas.openxmlformats.org/officeDocument/2006/relationships/hyperlink" Target="https://www.tamera.org/" TargetMode="External"/><Relationship Id="rId63" Type="http://schemas.openxmlformats.org/officeDocument/2006/relationships/hyperlink" Target="https://www.mondragon-corporation.com/en/" TargetMode="External"/><Relationship Id="rId22" Type="http://schemas.openxmlformats.org/officeDocument/2006/relationships/hyperlink" Target="https://onlinelibrary.wiley.com/doi/10.1002/sd.2384#sd2384-bib-0073" TargetMode="External"/><Relationship Id="rId66" Type="http://schemas.openxmlformats.org/officeDocument/2006/relationships/hyperlink" Target="https://amap-idf.org/" TargetMode="External"/><Relationship Id="rId21" Type="http://schemas.openxmlformats.org/officeDocument/2006/relationships/hyperlink" Target="https://onlinelibrary.wiley.com/doi/10.1002/sd.2384#sd2384-bib-0113" TargetMode="External"/><Relationship Id="rId65" Type="http://schemas.openxmlformats.org/officeDocument/2006/relationships/hyperlink" Target="https://oxfambelgie.be/oxfam-wereldwinkels" TargetMode="External"/><Relationship Id="rId24" Type="http://schemas.openxmlformats.org/officeDocument/2006/relationships/hyperlink" Target="https://onlinelibrary.wiley.com/doi/10.1002/sd.2384#sd2384-bib-0036" TargetMode="External"/><Relationship Id="rId68" Type="http://schemas.openxmlformats.org/officeDocument/2006/relationships/hyperlink" Target="https://www.accesstoland.eu/Overview-of-Community-Supported-Agriculture-in-Europe" TargetMode="External"/><Relationship Id="rId23" Type="http://schemas.openxmlformats.org/officeDocument/2006/relationships/hyperlink" Target="https://onlinelibrary.wiley.com/doi/10.1002/sd.2384#sd2384-bib-0020" TargetMode="External"/><Relationship Id="rId67" Type="http://schemas.openxmlformats.org/officeDocument/2006/relationships/hyperlink" Target="https://energy-cities.eu/fr/" TargetMode="External"/><Relationship Id="rId60" Type="http://schemas.openxmlformats.org/officeDocument/2006/relationships/hyperlink" Target="https://onlinelibrary.wiley.com/doi/10.1002/sd.2384#sd2384-bib-0004" TargetMode="External"/><Relationship Id="rId26" Type="http://schemas.openxmlformats.org/officeDocument/2006/relationships/hyperlink" Target="https://onlinelibrary.wiley.com/doi/10.1002/sd.2384#sd2384-bib-0117" TargetMode="External"/><Relationship Id="rId25" Type="http://schemas.openxmlformats.org/officeDocument/2006/relationships/hyperlink" Target="https://onlinelibrary.wiley.com/doi/10.1002/sd.2384#sd2384-bib-0046" TargetMode="External"/><Relationship Id="rId69" Type="http://schemas.openxmlformats.org/officeDocument/2006/relationships/hyperlink" Target="https://english.cultureelerfgoed.nl/" TargetMode="External"/><Relationship Id="rId28" Type="http://schemas.openxmlformats.org/officeDocument/2006/relationships/hyperlink" Target="https://onlinelibrary.wiley.com/doi/10.1002/sd.2384#sd2384-bib-0009" TargetMode="External"/><Relationship Id="rId27" Type="http://schemas.openxmlformats.org/officeDocument/2006/relationships/hyperlink" Target="https://onlinelibrary.wiley.com/doi/10.1002/sd.2384#sd2384-bib-0071" TargetMode="External"/><Relationship Id="rId29" Type="http://schemas.openxmlformats.org/officeDocument/2006/relationships/hyperlink" Target="https://onlinelibrary.wiley.com/doi/10.1002/sd.2384#sd2384-bib-0052" TargetMode="External"/><Relationship Id="rId51" Type="http://schemas.openxmlformats.org/officeDocument/2006/relationships/hyperlink" Target="https://onlinelibrary.wiley.com/doi/10.1002/sd.2384#sd2384-bib-0016" TargetMode="External"/><Relationship Id="rId50" Type="http://schemas.openxmlformats.org/officeDocument/2006/relationships/hyperlink" Target="https://onlinelibrary.wiley.com/doi/10.1002/sd.2384#sd2384-bib-0024" TargetMode="External"/><Relationship Id="rId53" Type="http://schemas.openxmlformats.org/officeDocument/2006/relationships/hyperlink" Target="https://onlinelibrary.wiley.com/doi/10.1002/sd.2384#sd2384-bib-0075" TargetMode="External"/><Relationship Id="rId52" Type="http://schemas.openxmlformats.org/officeDocument/2006/relationships/hyperlink" Target="https://onlinelibrary.wiley.com/doi/10.1002/sd.2384#sd2384-bib-0063" TargetMode="External"/><Relationship Id="rId11" Type="http://schemas.openxmlformats.org/officeDocument/2006/relationships/header" Target="header1.xml"/><Relationship Id="rId55" Type="http://schemas.openxmlformats.org/officeDocument/2006/relationships/hyperlink" Target="https://onlinelibrary.wiley.com/doi/10.1002/sd.2384#sd2384-bib-0120" TargetMode="External"/><Relationship Id="rId10" Type="http://schemas.openxmlformats.org/officeDocument/2006/relationships/image" Target="media/image8.png"/><Relationship Id="rId54" Type="http://schemas.openxmlformats.org/officeDocument/2006/relationships/hyperlink" Target="https://onlinelibrary.wiley.com/doi/10.1002/sd.2384#sd2384-bib-0028" TargetMode="External"/><Relationship Id="rId13" Type="http://schemas.openxmlformats.org/officeDocument/2006/relationships/image" Target="media/image11.jpg"/><Relationship Id="rId57" Type="http://schemas.openxmlformats.org/officeDocument/2006/relationships/hyperlink" Target="https://onlinelibrary.wiley.com/doi/10.1002/sd.2384#sd2384-bib-0031" TargetMode="External"/><Relationship Id="rId12" Type="http://schemas.openxmlformats.org/officeDocument/2006/relationships/footer" Target="footer1.xml"/><Relationship Id="rId56" Type="http://schemas.openxmlformats.org/officeDocument/2006/relationships/hyperlink" Target="https://onlinelibrary.wiley.com/doi/10.1002/sd.2384#sd2384-bib-0021" TargetMode="External"/><Relationship Id="rId15" Type="http://schemas.openxmlformats.org/officeDocument/2006/relationships/hyperlink" Target="https://onlinelibrary.wiley.com/doi/10.1002/sd.2384#sd2384-bib-0078" TargetMode="External"/><Relationship Id="rId59" Type="http://schemas.openxmlformats.org/officeDocument/2006/relationships/hyperlink" Target="https://onlinelibrary.wiley.com/doi/10.1002/sd.2384#sd2384-bib-0122" TargetMode="External"/><Relationship Id="rId14" Type="http://schemas.openxmlformats.org/officeDocument/2006/relationships/hyperlink" Target="https://onlinelibrary.wiley.com/doi/10.1002/sd.2384#sd2384-bib-0116" TargetMode="External"/><Relationship Id="rId58" Type="http://schemas.openxmlformats.org/officeDocument/2006/relationships/hyperlink" Target="https://onlinelibrary.wiley.com/doi/10.1002/sd.2384#sd2384-bib-0030" TargetMode="External"/><Relationship Id="rId17" Type="http://schemas.openxmlformats.org/officeDocument/2006/relationships/hyperlink" Target="https://onlinelibrary.wiley.com/doi/10.1002/sd.2384#sd2384-bib-0022" TargetMode="External"/><Relationship Id="rId16" Type="http://schemas.openxmlformats.org/officeDocument/2006/relationships/hyperlink" Target="https://onlinelibrary.wiley.com/doi/10.1002/sd.2384#sd2384-bib-0078" TargetMode="External"/><Relationship Id="rId19" Type="http://schemas.openxmlformats.org/officeDocument/2006/relationships/hyperlink" Target="https://onlinelibrary.wiley.com/doi/10.1002/sd.2384#sd2384-bib-0045" TargetMode="External"/><Relationship Id="rId18" Type="http://schemas.openxmlformats.org/officeDocument/2006/relationships/hyperlink" Target="https://onlinelibrary.wiley.com/doi/10.1002/sd.2384#sd2384-bib-0028" TargetMode="External"/></Relationships>
</file>

<file path=word/_rels/fontTable.xml.rels><?xml version="1.0" encoding="UTF-8" standalone="yes"?><Relationships xmlns="http://schemas.openxmlformats.org/package/2006/relationships"><Relationship Id="rId2" Type="http://schemas.openxmlformats.org/officeDocument/2006/relationships/font" Target="fonts/NotoSansSymbols-regular.ttf"/><Relationship Id="rId3" Type="http://schemas.openxmlformats.org/officeDocument/2006/relationships/font" Target="fonts/NotoSansSymbols-bold.ttf"/><Relationship Id="rId4" Type="http://schemas.openxmlformats.org/officeDocument/2006/relationships/font" Target="fonts/CambriaMath-regular.ttf"/><Relationship Id="rId5" Type="http://schemas.openxmlformats.org/officeDocument/2006/relationships/font" Target="fonts/CenturyGothic-regular.ttf"/><Relationship Id="rId6" Type="http://schemas.openxmlformats.org/officeDocument/2006/relationships/font" Target="fonts/CenturyGothic-bold.ttf"/><Relationship Id="rId7" Type="http://schemas.openxmlformats.org/officeDocument/2006/relationships/font" Target="fonts/CenturyGothic-italic.ttf"/><Relationship Id="rId8"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2" Type="http://schemas.openxmlformats.org/officeDocument/2006/relationships/image" Target="media/image5.jpg"/><Relationship Id="rId3" Type="http://schemas.openxmlformats.org/officeDocument/2006/relationships/image" Target="media/image6.jpg"/><Relationship Id="rId4" Type="http://schemas.openxmlformats.org/officeDocument/2006/relationships/image" Target="media/image12.png"/><Relationship Id="rId5" Type="http://schemas.openxmlformats.org/officeDocument/2006/relationships/image" Target="media/image7.png"/><Relationship Id="rId6" Type="http://schemas.openxmlformats.org/officeDocument/2006/relationships/image" Target="media/image4.jpg"/><Relationship Id="rId7" Type="http://schemas.openxmlformats.org/officeDocument/2006/relationships/image" Target="media/image2.jpg"/></Relationships>
</file>

<file path=word/_rels/header1.xml.rels><?xml version="1.0" encoding="UTF-8" standalone="yes"?><Relationships xmlns="http://schemas.openxmlformats.org/package/2006/relationships"><Relationship Id="rId2" Type="http://schemas.openxmlformats.org/officeDocument/2006/relationships/image" Target="media/image1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2"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d79wFe6DZWRsLkgjBsz4niPdqA==">CgMxLjAyCWguMzBqMHpsbDIOaC5wbGQzMDN4dXdxNzIyDmguYjA4Y3ZtaXRmcWtsMg5oLjlsajJsbzdvNGJjcDIOaC5yd2p3b3oxaGE3aGgyDmgubDY2ZGM4dHVsODdpMg1oLm80d3dvaHVjZWVtMg5oLmE2YzYzdTc2ajl2ejIOaC5zNWk3ZXR0YXZsbDcyDWgubzBsOTUwcTJ1ZXYyDmguaWtkZmszMzl2OWw3Mg1oLnJ6dzdoeGw5NTUyMg1oLnBlcGEwbGRibXFlMg5oLm9kZHdsM2YyOGFyajIOaC5yMzRvZ3VmZ2Ezd2syDmguZXFrbm93azJpZWdsMg5oLm83anVxN2wxeDRnZDIOaC52cnljYW44em5wcDcyDmguYzdxbDIzc2l2YXBjMg5oLnlodXEzbWU0OTkzcDIOaC5ncmRmNGwyd3E2Njk4AHIhMVpRS1BFQndLenR1Q3NsNnFidVUxUWIwWUptTkRoYkZ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2026-02-26T12:25:00Z</dcterms:created>
  <dc:creator>Virginia Payá</dc:creator>
</cp:coreProperties>
</file>